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AD4BA" w14:textId="6009C1F2" w:rsidR="00FC6EAE" w:rsidRPr="00AE3367" w:rsidRDefault="00FC6EAE" w:rsidP="00AE3367">
      <w:pPr>
        <w:rPr>
          <w:rFonts w:eastAsia="Times New Roman" w:cs="Times New Roman"/>
          <w:b/>
          <w:bCs/>
          <w:noProof/>
          <w:color w:val="000000" w:themeColor="text1"/>
          <w:sz w:val="28"/>
          <w:szCs w:val="28"/>
          <w:lang w:eastAsia="es-ES"/>
        </w:rPr>
      </w:pPr>
      <w:r w:rsidRPr="00AE3367">
        <w:rPr>
          <w:rFonts w:eastAsia="Times New Roman" w:cs="Times New Roman"/>
          <w:b/>
          <w:bCs/>
          <w:noProof/>
          <w:color w:val="000000" w:themeColor="text1"/>
          <w:sz w:val="28"/>
          <w:szCs w:val="28"/>
          <w:lang w:eastAsia="es-ES"/>
        </w:rPr>
        <w:t>A</w:t>
      </w:r>
      <w:r w:rsidR="00AE3367" w:rsidRPr="00AE3367">
        <w:rPr>
          <w:rFonts w:eastAsia="Times New Roman" w:cs="Times New Roman"/>
          <w:b/>
          <w:bCs/>
          <w:noProof/>
          <w:color w:val="000000" w:themeColor="text1"/>
          <w:sz w:val="28"/>
          <w:szCs w:val="28"/>
          <w:lang w:eastAsia="es-ES"/>
        </w:rPr>
        <w:t>uto</w:t>
      </w:r>
      <w:r w:rsidR="00AE3367">
        <w:rPr>
          <w:rFonts w:eastAsia="Times New Roman" w:cs="Times New Roman"/>
          <w:b/>
          <w:bCs/>
          <w:noProof/>
          <w:color w:val="000000" w:themeColor="text1"/>
          <w:sz w:val="28"/>
          <w:szCs w:val="28"/>
          <w:lang w:eastAsia="es-ES"/>
        </w:rPr>
        <w:t xml:space="preserve"> </w:t>
      </w:r>
      <w:r w:rsidR="007F194D" w:rsidRPr="00AE3367">
        <w:rPr>
          <w:rFonts w:eastAsia="Times New Roman" w:cs="Times New Roman"/>
          <w:b/>
          <w:bCs/>
          <w:noProof/>
          <w:color w:val="000000" w:themeColor="text1"/>
          <w:sz w:val="28"/>
          <w:szCs w:val="28"/>
          <w:lang w:eastAsia="es-ES"/>
        </w:rPr>
        <w:t>131</w:t>
      </w:r>
      <w:r w:rsidR="00AE3367">
        <w:rPr>
          <w:rFonts w:eastAsia="Times New Roman" w:cs="Times New Roman"/>
          <w:b/>
          <w:bCs/>
          <w:noProof/>
          <w:color w:val="000000" w:themeColor="text1"/>
          <w:sz w:val="28"/>
          <w:szCs w:val="28"/>
          <w:lang w:eastAsia="es-ES"/>
        </w:rPr>
        <w:t>/</w:t>
      </w:r>
      <w:r w:rsidR="00C42500" w:rsidRPr="00AE3367">
        <w:rPr>
          <w:rFonts w:eastAsia="Times New Roman" w:cs="Times New Roman"/>
          <w:b/>
          <w:bCs/>
          <w:noProof/>
          <w:color w:val="000000" w:themeColor="text1"/>
          <w:sz w:val="28"/>
          <w:szCs w:val="28"/>
          <w:lang w:eastAsia="es-ES"/>
        </w:rPr>
        <w:t>20</w:t>
      </w:r>
    </w:p>
    <w:p w14:paraId="7F2FAF65" w14:textId="77777777" w:rsidR="00FC6EAE" w:rsidRDefault="00FC6EAE" w:rsidP="00AE3367">
      <w:pPr>
        <w:jc w:val="center"/>
        <w:rPr>
          <w:rFonts w:eastAsia="Times New Roman" w:cs="Times New Roman"/>
          <w:b/>
          <w:bCs/>
          <w:noProof/>
          <w:color w:val="000000" w:themeColor="text1"/>
          <w:sz w:val="28"/>
          <w:szCs w:val="28"/>
          <w:lang w:eastAsia="es-ES"/>
        </w:rPr>
      </w:pPr>
    </w:p>
    <w:p w14:paraId="716242C5" w14:textId="77777777" w:rsidR="00AE3367" w:rsidRPr="00AE3367" w:rsidRDefault="00AE3367" w:rsidP="00AE3367">
      <w:pPr>
        <w:jc w:val="center"/>
        <w:rPr>
          <w:rFonts w:eastAsia="Times New Roman" w:cs="Times New Roman"/>
          <w:b/>
          <w:bCs/>
          <w:noProof/>
          <w:color w:val="000000" w:themeColor="text1"/>
          <w:sz w:val="28"/>
          <w:szCs w:val="28"/>
          <w:lang w:eastAsia="es-ES"/>
        </w:rPr>
      </w:pPr>
    </w:p>
    <w:p w14:paraId="6368AF00" w14:textId="77777777" w:rsidR="00FC6EAE" w:rsidRPr="00AE3367" w:rsidRDefault="00FC6EAE" w:rsidP="00AE3367">
      <w:pPr>
        <w:ind w:left="3969"/>
        <w:jc w:val="both"/>
        <w:rPr>
          <w:rFonts w:cs="Times New Roman"/>
          <w:noProof/>
          <w:color w:val="000000" w:themeColor="text1"/>
          <w:sz w:val="28"/>
          <w:szCs w:val="28"/>
        </w:rPr>
      </w:pPr>
      <w:r w:rsidRPr="00AE3367">
        <w:rPr>
          <w:rFonts w:cs="Times New Roman"/>
          <w:noProof/>
          <w:color w:val="000000" w:themeColor="text1"/>
          <w:sz w:val="28"/>
          <w:szCs w:val="28"/>
        </w:rPr>
        <w:t>Referencia:</w:t>
      </w:r>
      <w:r w:rsidR="00AD34B0" w:rsidRPr="00AE3367">
        <w:rPr>
          <w:rFonts w:cs="Times New Roman"/>
          <w:noProof/>
          <w:color w:val="000000" w:themeColor="text1"/>
          <w:sz w:val="28"/>
          <w:szCs w:val="28"/>
        </w:rPr>
        <w:t xml:space="preserve"> e</w:t>
      </w:r>
      <w:r w:rsidRPr="00AE3367">
        <w:rPr>
          <w:rFonts w:cs="Times New Roman"/>
          <w:noProof/>
          <w:color w:val="000000" w:themeColor="text1"/>
          <w:sz w:val="28"/>
          <w:szCs w:val="28"/>
        </w:rPr>
        <w:t>xpediente CJU-00</w:t>
      </w:r>
      <w:r w:rsidR="00AD34B0" w:rsidRPr="00AE3367">
        <w:rPr>
          <w:rFonts w:cs="Times New Roman"/>
          <w:noProof/>
          <w:color w:val="000000" w:themeColor="text1"/>
          <w:sz w:val="28"/>
          <w:szCs w:val="28"/>
        </w:rPr>
        <w:t>49</w:t>
      </w:r>
    </w:p>
    <w:p w14:paraId="420E6FD6" w14:textId="77777777" w:rsidR="00FC6EAE" w:rsidRPr="00AE3367" w:rsidRDefault="00FC6EAE" w:rsidP="00AE3367">
      <w:pPr>
        <w:ind w:left="3969"/>
        <w:jc w:val="both"/>
        <w:rPr>
          <w:rFonts w:eastAsia="Times New Roman" w:cs="Times New Roman"/>
          <w:color w:val="000000" w:themeColor="text1"/>
          <w:sz w:val="28"/>
          <w:szCs w:val="28"/>
        </w:rPr>
      </w:pPr>
      <w:bookmarkStart w:id="0" w:name="_GoBack"/>
      <w:bookmarkEnd w:id="0"/>
    </w:p>
    <w:p w14:paraId="3EE5409B" w14:textId="77777777" w:rsidR="00FC6EAE" w:rsidRPr="00AE3367" w:rsidRDefault="00FC6EAE" w:rsidP="00AE3367">
      <w:pPr>
        <w:ind w:left="3969"/>
        <w:jc w:val="both"/>
        <w:rPr>
          <w:rFonts w:eastAsia="Times New Roman" w:cs="Times New Roman"/>
          <w:noProof/>
          <w:color w:val="000000" w:themeColor="text1"/>
          <w:sz w:val="28"/>
          <w:szCs w:val="28"/>
        </w:rPr>
      </w:pPr>
      <w:r w:rsidRPr="00AE3367">
        <w:rPr>
          <w:rFonts w:eastAsia="Times New Roman" w:cs="Times New Roman"/>
          <w:noProof/>
          <w:color w:val="000000" w:themeColor="text1"/>
          <w:sz w:val="28"/>
          <w:szCs w:val="28"/>
        </w:rPr>
        <w:t>Conflicto de jurisdicci</w:t>
      </w:r>
      <w:r w:rsidR="00B651CA" w:rsidRPr="00AE3367">
        <w:rPr>
          <w:rFonts w:eastAsia="Times New Roman" w:cs="Times New Roman"/>
          <w:noProof/>
          <w:color w:val="000000" w:themeColor="text1"/>
          <w:sz w:val="28"/>
          <w:szCs w:val="28"/>
        </w:rPr>
        <w:t xml:space="preserve">ones suscitado </w:t>
      </w:r>
      <w:r w:rsidRPr="00AE3367">
        <w:rPr>
          <w:rFonts w:eastAsia="Times New Roman" w:cs="Times New Roman"/>
          <w:noProof/>
          <w:color w:val="000000" w:themeColor="text1"/>
          <w:sz w:val="28"/>
          <w:szCs w:val="28"/>
        </w:rPr>
        <w:t xml:space="preserve">entre </w:t>
      </w:r>
      <w:r w:rsidR="00AD34B0" w:rsidRPr="00AE3367">
        <w:rPr>
          <w:rFonts w:eastAsia="Times New Roman" w:cs="Times New Roman"/>
          <w:noProof/>
          <w:color w:val="000000" w:themeColor="text1"/>
          <w:sz w:val="28"/>
          <w:szCs w:val="28"/>
        </w:rPr>
        <w:t xml:space="preserve">la Procuraduría Auxiliar para Asuntos Disciplinarios y la Sala Jurisdiccional Disciplinaria del Consejo Superior de la Judicatura. </w:t>
      </w:r>
    </w:p>
    <w:p w14:paraId="7BEC484E" w14:textId="77777777" w:rsidR="00FC6EAE" w:rsidRPr="00AE3367" w:rsidRDefault="00FC6EAE" w:rsidP="00AE3367">
      <w:pPr>
        <w:ind w:left="3969"/>
        <w:jc w:val="both"/>
        <w:rPr>
          <w:rFonts w:eastAsia="Times New Roman" w:cs="Times New Roman"/>
          <w:noProof/>
          <w:color w:val="000000" w:themeColor="text1"/>
          <w:sz w:val="28"/>
          <w:szCs w:val="28"/>
        </w:rPr>
      </w:pPr>
    </w:p>
    <w:p w14:paraId="329EDBE9" w14:textId="77777777" w:rsidR="00FC6EAE" w:rsidRPr="00AE3367" w:rsidRDefault="00FC6EAE" w:rsidP="00AE3367">
      <w:pPr>
        <w:ind w:left="3969"/>
        <w:jc w:val="both"/>
        <w:rPr>
          <w:rFonts w:eastAsia="Times New Roman" w:cs="Times New Roman"/>
          <w:noProof/>
          <w:color w:val="000000" w:themeColor="text1"/>
          <w:sz w:val="28"/>
          <w:szCs w:val="28"/>
        </w:rPr>
      </w:pPr>
      <w:r w:rsidRPr="00AE3367">
        <w:rPr>
          <w:rFonts w:eastAsia="Times New Roman" w:cs="Times New Roman"/>
          <w:noProof/>
          <w:color w:val="000000" w:themeColor="text1"/>
          <w:sz w:val="28"/>
          <w:szCs w:val="28"/>
        </w:rPr>
        <w:t>Magistrada ponente:</w:t>
      </w:r>
    </w:p>
    <w:p w14:paraId="136751FD" w14:textId="77777777" w:rsidR="00FC6EAE" w:rsidRPr="00AE3367" w:rsidRDefault="00FC6EAE" w:rsidP="00AE3367">
      <w:pPr>
        <w:ind w:left="3969"/>
        <w:jc w:val="both"/>
        <w:rPr>
          <w:rFonts w:eastAsia="Times New Roman" w:cs="Times New Roman"/>
          <w:noProof/>
          <w:color w:val="000000" w:themeColor="text1"/>
          <w:sz w:val="28"/>
          <w:szCs w:val="28"/>
        </w:rPr>
      </w:pPr>
      <w:r w:rsidRPr="00AE3367">
        <w:rPr>
          <w:rFonts w:eastAsia="Times New Roman" w:cs="Times New Roman"/>
          <w:noProof/>
          <w:color w:val="000000" w:themeColor="text1"/>
          <w:sz w:val="28"/>
          <w:szCs w:val="28"/>
        </w:rPr>
        <w:t>DIANA FAJARDO RIVERA</w:t>
      </w:r>
    </w:p>
    <w:p w14:paraId="7DC1104D" w14:textId="77777777" w:rsidR="00FC6EAE" w:rsidRPr="00AE3367" w:rsidRDefault="00FC6EAE" w:rsidP="00AE3367">
      <w:pPr>
        <w:jc w:val="both"/>
        <w:rPr>
          <w:rFonts w:eastAsia="Times New Roman" w:cs="Times New Roman"/>
          <w:noProof/>
          <w:color w:val="000000" w:themeColor="text1"/>
          <w:sz w:val="28"/>
          <w:szCs w:val="28"/>
        </w:rPr>
      </w:pPr>
    </w:p>
    <w:p w14:paraId="729B5F6B" w14:textId="77777777" w:rsidR="001F38E4" w:rsidRPr="00AE3367" w:rsidRDefault="001F38E4" w:rsidP="00AE3367">
      <w:pPr>
        <w:jc w:val="both"/>
        <w:rPr>
          <w:rFonts w:eastAsia="Times New Roman" w:cs="Times New Roman"/>
          <w:noProof/>
          <w:color w:val="000000" w:themeColor="text1"/>
          <w:sz w:val="28"/>
          <w:szCs w:val="28"/>
        </w:rPr>
      </w:pPr>
    </w:p>
    <w:p w14:paraId="4DA8790B" w14:textId="77777777" w:rsidR="00FC6EAE" w:rsidRPr="00AE3367" w:rsidRDefault="00FC6EAE" w:rsidP="00AE3367">
      <w:pPr>
        <w:jc w:val="both"/>
        <w:rPr>
          <w:rFonts w:eastAsia="Times New Roman" w:cs="Times New Roman"/>
          <w:noProof/>
          <w:color w:val="000000" w:themeColor="text1"/>
          <w:sz w:val="28"/>
          <w:szCs w:val="28"/>
        </w:rPr>
      </w:pPr>
      <w:r w:rsidRPr="00AE3367">
        <w:rPr>
          <w:rFonts w:eastAsia="Times New Roman" w:cs="Times New Roman"/>
          <w:noProof/>
          <w:color w:val="000000" w:themeColor="text1"/>
          <w:sz w:val="28"/>
          <w:szCs w:val="28"/>
        </w:rPr>
        <w:t xml:space="preserve">Bogotá D.C., </w:t>
      </w:r>
      <w:r w:rsidR="00D32906" w:rsidRPr="00AE3367">
        <w:rPr>
          <w:rFonts w:eastAsia="Times New Roman" w:cs="Times New Roman"/>
          <w:noProof/>
          <w:color w:val="000000" w:themeColor="text1"/>
          <w:sz w:val="28"/>
          <w:szCs w:val="28"/>
        </w:rPr>
        <w:t xml:space="preserve">dieciséis (16) </w:t>
      </w:r>
      <w:r w:rsidRPr="00AE3367">
        <w:rPr>
          <w:rFonts w:eastAsia="Times New Roman" w:cs="Times New Roman"/>
          <w:noProof/>
          <w:color w:val="000000" w:themeColor="text1"/>
          <w:sz w:val="28"/>
          <w:szCs w:val="28"/>
        </w:rPr>
        <w:t xml:space="preserve">de </w:t>
      </w:r>
      <w:r w:rsidR="00D32906" w:rsidRPr="00AE3367">
        <w:rPr>
          <w:rFonts w:eastAsia="Times New Roman" w:cs="Times New Roman"/>
          <w:noProof/>
          <w:color w:val="000000" w:themeColor="text1"/>
          <w:sz w:val="28"/>
          <w:szCs w:val="28"/>
        </w:rPr>
        <w:t>abril</w:t>
      </w:r>
      <w:r w:rsidRPr="00AE3367">
        <w:rPr>
          <w:rFonts w:eastAsia="Times New Roman" w:cs="Times New Roman"/>
          <w:noProof/>
          <w:color w:val="000000" w:themeColor="text1"/>
          <w:sz w:val="28"/>
          <w:szCs w:val="28"/>
        </w:rPr>
        <w:t xml:space="preserve"> de dos mil </w:t>
      </w:r>
      <w:r w:rsidR="00F85389" w:rsidRPr="00AE3367">
        <w:rPr>
          <w:rFonts w:eastAsia="Times New Roman" w:cs="Times New Roman"/>
          <w:noProof/>
          <w:color w:val="000000" w:themeColor="text1"/>
          <w:sz w:val="28"/>
          <w:szCs w:val="28"/>
        </w:rPr>
        <w:t>veinte (2020</w:t>
      </w:r>
      <w:r w:rsidRPr="00AE3367">
        <w:rPr>
          <w:rFonts w:eastAsia="Times New Roman" w:cs="Times New Roman"/>
          <w:noProof/>
          <w:color w:val="000000" w:themeColor="text1"/>
          <w:sz w:val="28"/>
          <w:szCs w:val="28"/>
        </w:rPr>
        <w:t>).</w:t>
      </w:r>
    </w:p>
    <w:p w14:paraId="5338677F" w14:textId="77777777" w:rsidR="001F38E4" w:rsidRPr="00AE3367" w:rsidRDefault="001F38E4" w:rsidP="00AE3367">
      <w:pPr>
        <w:jc w:val="both"/>
        <w:rPr>
          <w:rFonts w:eastAsia="Times New Roman" w:cs="Times New Roman"/>
          <w:noProof/>
          <w:color w:val="000000" w:themeColor="text1"/>
          <w:sz w:val="28"/>
          <w:szCs w:val="28"/>
        </w:rPr>
      </w:pPr>
    </w:p>
    <w:p w14:paraId="35E75E6F" w14:textId="77777777" w:rsidR="00FC6EAE" w:rsidRPr="00AE3367" w:rsidRDefault="00FC6EAE" w:rsidP="00AE3367">
      <w:pPr>
        <w:jc w:val="both"/>
        <w:rPr>
          <w:rFonts w:eastAsia="Times New Roman" w:cs="Times New Roman"/>
          <w:noProof/>
          <w:color w:val="000000" w:themeColor="text1"/>
          <w:sz w:val="28"/>
          <w:szCs w:val="28"/>
        </w:rPr>
      </w:pPr>
      <w:r w:rsidRPr="00AE3367">
        <w:rPr>
          <w:rFonts w:eastAsia="Times New Roman" w:cs="Times New Roman"/>
          <w:noProof/>
          <w:color w:val="000000" w:themeColor="text1"/>
          <w:sz w:val="28"/>
          <w:szCs w:val="28"/>
        </w:rPr>
        <w:t> </w:t>
      </w:r>
    </w:p>
    <w:p w14:paraId="081EA65D" w14:textId="77777777" w:rsidR="00FC6EAE" w:rsidRPr="00AE3367" w:rsidRDefault="00FC6EAE" w:rsidP="00AE3367">
      <w:pPr>
        <w:jc w:val="both"/>
        <w:rPr>
          <w:rFonts w:cs="Times New Roman"/>
          <w:noProof/>
          <w:sz w:val="28"/>
          <w:szCs w:val="28"/>
        </w:rPr>
      </w:pPr>
      <w:r w:rsidRPr="00AE3367">
        <w:rPr>
          <w:rFonts w:cs="Times New Roman"/>
          <w:noProof/>
          <w:sz w:val="28"/>
          <w:szCs w:val="28"/>
        </w:rPr>
        <w:t>La Sala Plena de la Corte Constitucional, en ejercicio de sus competencias constitucionales y legales, en especial la prevista en el numeral 11 del artículo 241 de la Constitución Política, profiere el siguiente</w:t>
      </w:r>
    </w:p>
    <w:p w14:paraId="1AE0EFB1" w14:textId="77777777" w:rsidR="00FC6EAE" w:rsidRPr="00AE3367" w:rsidRDefault="00FC6EAE" w:rsidP="00AE3367">
      <w:pPr>
        <w:rPr>
          <w:rFonts w:cs="Times New Roman"/>
          <w:noProof/>
          <w:sz w:val="28"/>
          <w:szCs w:val="28"/>
        </w:rPr>
      </w:pPr>
      <w:bookmarkStart w:id="1" w:name="_Toc507407059"/>
    </w:p>
    <w:p w14:paraId="42580BBA" w14:textId="77777777" w:rsidR="00AD34B0" w:rsidRPr="00AE3367" w:rsidRDefault="00FC6EAE" w:rsidP="00AE3367">
      <w:pPr>
        <w:jc w:val="center"/>
        <w:rPr>
          <w:rFonts w:cs="Times New Roman"/>
          <w:b/>
          <w:sz w:val="28"/>
          <w:szCs w:val="28"/>
        </w:rPr>
      </w:pPr>
      <w:r w:rsidRPr="00AE3367">
        <w:rPr>
          <w:rFonts w:cs="Times New Roman"/>
          <w:b/>
          <w:noProof/>
          <w:sz w:val="28"/>
          <w:szCs w:val="28"/>
        </w:rPr>
        <w:t>AUTO</w:t>
      </w:r>
    </w:p>
    <w:p w14:paraId="46C6C1C6" w14:textId="77777777" w:rsidR="00AD34B0" w:rsidRPr="00AE3367" w:rsidRDefault="00AD34B0" w:rsidP="00AE3367">
      <w:pPr>
        <w:rPr>
          <w:rFonts w:cs="Times New Roman"/>
          <w:b/>
          <w:noProof/>
          <w:sz w:val="28"/>
          <w:szCs w:val="28"/>
        </w:rPr>
      </w:pPr>
    </w:p>
    <w:p w14:paraId="5204B5A6" w14:textId="77777777" w:rsidR="00FC6EAE" w:rsidRPr="00AE3367" w:rsidRDefault="00FC6EAE" w:rsidP="00AE3367">
      <w:pPr>
        <w:rPr>
          <w:rFonts w:cs="Times New Roman"/>
          <w:b/>
          <w:noProof/>
          <w:sz w:val="28"/>
          <w:szCs w:val="28"/>
        </w:rPr>
      </w:pPr>
      <w:r w:rsidRPr="00AE3367">
        <w:rPr>
          <w:rFonts w:cs="Times New Roman"/>
          <w:b/>
          <w:noProof/>
          <w:sz w:val="28"/>
          <w:szCs w:val="28"/>
        </w:rPr>
        <w:t>I. ANTECEDENTES</w:t>
      </w:r>
      <w:bookmarkEnd w:id="1"/>
    </w:p>
    <w:p w14:paraId="19B990A7" w14:textId="77777777" w:rsidR="00FC6EAE" w:rsidRPr="00AE3367" w:rsidRDefault="00FC6EAE" w:rsidP="00AE3367">
      <w:pPr>
        <w:rPr>
          <w:rFonts w:cs="Times New Roman"/>
          <w:b/>
          <w:bCs/>
          <w:noProof/>
          <w:sz w:val="28"/>
          <w:szCs w:val="28"/>
        </w:rPr>
      </w:pPr>
    </w:p>
    <w:p w14:paraId="7EEF06FE" w14:textId="46639428" w:rsidR="00AD34B0" w:rsidRPr="00AE3367" w:rsidRDefault="00AD34B0" w:rsidP="00AE3367">
      <w:pPr>
        <w:jc w:val="both"/>
        <w:rPr>
          <w:rFonts w:cs="Times New Roman"/>
          <w:bCs/>
          <w:sz w:val="28"/>
          <w:szCs w:val="28"/>
        </w:rPr>
      </w:pPr>
      <w:r w:rsidRPr="00AE3367">
        <w:rPr>
          <w:rFonts w:cs="Times New Roman"/>
          <w:bCs/>
          <w:noProof/>
          <w:sz w:val="28"/>
          <w:szCs w:val="28"/>
        </w:rPr>
        <w:t>1. El 4 de may</w:t>
      </w:r>
      <w:r w:rsidR="00BC2322" w:rsidRPr="00AE3367">
        <w:rPr>
          <w:rFonts w:cs="Times New Roman"/>
          <w:bCs/>
          <w:noProof/>
          <w:sz w:val="28"/>
          <w:szCs w:val="28"/>
        </w:rPr>
        <w:t xml:space="preserve">o de 2016, el </w:t>
      </w:r>
      <w:r w:rsidRPr="00AE3367">
        <w:rPr>
          <w:rFonts w:cs="Times New Roman"/>
          <w:bCs/>
          <w:noProof/>
          <w:sz w:val="28"/>
          <w:szCs w:val="28"/>
        </w:rPr>
        <w:t>apoderado</w:t>
      </w:r>
      <w:r w:rsidR="00BB2DAD" w:rsidRPr="00AE3367">
        <w:rPr>
          <w:rStyle w:val="Refdenotaalpie"/>
          <w:bCs/>
          <w:noProof/>
          <w:sz w:val="28"/>
          <w:szCs w:val="28"/>
        </w:rPr>
        <w:footnoteReference w:id="1"/>
      </w:r>
      <w:r w:rsidRPr="00AE3367">
        <w:rPr>
          <w:rFonts w:cs="Times New Roman"/>
          <w:bCs/>
          <w:noProof/>
          <w:sz w:val="28"/>
          <w:szCs w:val="28"/>
        </w:rPr>
        <w:t xml:space="preserve"> del entonces magistrado de la Corte Constitucional, Jorge Ignacio Pretelt Chajub, instauró ante la Procuraduría General de la Nación queja disciplinaria en contra del </w:t>
      </w:r>
      <w:r w:rsidR="00A36ABC" w:rsidRPr="00AE3367">
        <w:rPr>
          <w:rFonts w:cs="Times New Roman"/>
          <w:bCs/>
          <w:noProof/>
          <w:sz w:val="28"/>
          <w:szCs w:val="28"/>
        </w:rPr>
        <w:t>congresista</w:t>
      </w:r>
      <w:r w:rsidRPr="00AE3367">
        <w:rPr>
          <w:rFonts w:cs="Times New Roman"/>
          <w:bCs/>
          <w:noProof/>
          <w:sz w:val="28"/>
          <w:szCs w:val="28"/>
        </w:rPr>
        <w:t xml:space="preserve"> Julián Bedoya Pulgarín</w:t>
      </w:r>
      <w:r w:rsidR="008F1099" w:rsidRPr="00AE3367">
        <w:rPr>
          <w:rFonts w:cs="Times New Roman"/>
          <w:bCs/>
          <w:noProof/>
          <w:sz w:val="28"/>
          <w:szCs w:val="28"/>
        </w:rPr>
        <w:t xml:space="preserve">, en su calidad </w:t>
      </w:r>
      <w:r w:rsidR="00A36ABC" w:rsidRPr="00AE3367">
        <w:rPr>
          <w:rFonts w:cs="Times New Roman"/>
          <w:bCs/>
          <w:noProof/>
          <w:sz w:val="28"/>
          <w:szCs w:val="28"/>
        </w:rPr>
        <w:t>de miembro de la Comisión de Investigación de Acusación de la Cámara de Representantes. La iniciación de esta actuación disciplinaria estuvo fundamentada en hechos que, en criterio del quejoso, constitu</w:t>
      </w:r>
      <w:r w:rsidR="00F8560A" w:rsidRPr="00AE3367">
        <w:rPr>
          <w:rFonts w:cs="Times New Roman"/>
          <w:bCs/>
          <w:noProof/>
          <w:sz w:val="28"/>
          <w:szCs w:val="28"/>
        </w:rPr>
        <w:t>yen</w:t>
      </w:r>
      <w:r w:rsidR="00A36ABC" w:rsidRPr="00AE3367">
        <w:rPr>
          <w:rFonts w:cs="Times New Roman"/>
          <w:bCs/>
          <w:noProof/>
          <w:sz w:val="28"/>
          <w:szCs w:val="28"/>
        </w:rPr>
        <w:t xml:space="preserve"> presuntas irregularidades</w:t>
      </w:r>
      <w:r w:rsidR="00BC2322" w:rsidRPr="00AE3367">
        <w:rPr>
          <w:rFonts w:cs="Times New Roman"/>
          <w:bCs/>
          <w:noProof/>
          <w:sz w:val="28"/>
          <w:szCs w:val="28"/>
        </w:rPr>
        <w:t xml:space="preserve"> al interior del proceso que el Representante a la Cámara </w:t>
      </w:r>
      <w:r w:rsidR="00A36ABC" w:rsidRPr="00AE3367">
        <w:rPr>
          <w:rFonts w:cs="Times New Roman"/>
          <w:bCs/>
          <w:noProof/>
          <w:sz w:val="28"/>
          <w:szCs w:val="28"/>
        </w:rPr>
        <w:t xml:space="preserve">venía instruyendo en contra del exmagistrado Pretelt Chaljub. </w:t>
      </w:r>
      <w:r w:rsidR="00712354" w:rsidRPr="00AE3367">
        <w:rPr>
          <w:rFonts w:cs="Times New Roman"/>
          <w:bCs/>
          <w:noProof/>
          <w:sz w:val="28"/>
          <w:szCs w:val="28"/>
        </w:rPr>
        <w:t>En esta queja, el</w:t>
      </w:r>
      <w:r w:rsidR="00A9431E" w:rsidRPr="00AE3367">
        <w:rPr>
          <w:rFonts w:cs="Times New Roman"/>
          <w:bCs/>
          <w:noProof/>
          <w:sz w:val="28"/>
          <w:szCs w:val="28"/>
        </w:rPr>
        <w:t xml:space="preserve"> abogado se refirió a la aparente afectación del derecho al debido proceso de su poderdante, por parte del congresista, en su rol de instructor de la causa antes referida</w:t>
      </w:r>
      <w:r w:rsidR="00C83371" w:rsidRPr="00AE3367">
        <w:rPr>
          <w:rFonts w:cs="Times New Roman"/>
          <w:bCs/>
          <w:noProof/>
          <w:sz w:val="28"/>
          <w:szCs w:val="28"/>
        </w:rPr>
        <w:t>. En concreto, consideró que el Representante “sin ninguna justificación (…) cerró la etapa de instrucción, negando la práctica de pruebas solicitadas por la defensa”</w:t>
      </w:r>
      <w:r w:rsidR="00712354" w:rsidRPr="00AE3367">
        <w:rPr>
          <w:rFonts w:cs="Times New Roman"/>
          <w:bCs/>
          <w:noProof/>
          <w:sz w:val="28"/>
          <w:szCs w:val="28"/>
        </w:rPr>
        <w:t>. Además, sostuvo que el instructor del proceso</w:t>
      </w:r>
      <w:r w:rsidR="00C83371" w:rsidRPr="00AE3367">
        <w:rPr>
          <w:rFonts w:cs="Times New Roman"/>
          <w:bCs/>
          <w:noProof/>
          <w:sz w:val="28"/>
          <w:szCs w:val="28"/>
        </w:rPr>
        <w:t xml:space="preserve"> no </w:t>
      </w:r>
      <w:r w:rsidR="00E97F7A" w:rsidRPr="00AE3367">
        <w:rPr>
          <w:rFonts w:cs="Times New Roman"/>
          <w:bCs/>
          <w:noProof/>
          <w:sz w:val="28"/>
          <w:szCs w:val="28"/>
        </w:rPr>
        <w:t>accedió</w:t>
      </w:r>
      <w:r w:rsidR="00C83371" w:rsidRPr="00AE3367">
        <w:rPr>
          <w:rFonts w:cs="Times New Roman"/>
          <w:bCs/>
          <w:noProof/>
          <w:sz w:val="28"/>
          <w:szCs w:val="28"/>
        </w:rPr>
        <w:t xml:space="preserve"> a la solicitud de permitir la recolección de pruebas adicionales</w:t>
      </w:r>
      <w:r w:rsidR="00712354" w:rsidRPr="00AE3367">
        <w:rPr>
          <w:rFonts w:cs="Times New Roman"/>
          <w:bCs/>
          <w:noProof/>
          <w:sz w:val="28"/>
          <w:szCs w:val="28"/>
        </w:rPr>
        <w:t>, y guardó silencio frente a otras peticiones elevadas en el mismo sentido. De igual manera, mencion</w:t>
      </w:r>
      <w:r w:rsidR="00E97F7A" w:rsidRPr="00AE3367">
        <w:rPr>
          <w:rFonts w:cs="Times New Roman"/>
          <w:bCs/>
          <w:noProof/>
          <w:sz w:val="28"/>
          <w:szCs w:val="28"/>
        </w:rPr>
        <w:t xml:space="preserve">ó </w:t>
      </w:r>
      <w:r w:rsidR="00A655E9" w:rsidRPr="00AE3367">
        <w:rPr>
          <w:rFonts w:cs="Times New Roman"/>
          <w:bCs/>
          <w:noProof/>
          <w:sz w:val="28"/>
          <w:szCs w:val="28"/>
        </w:rPr>
        <w:t>la</w:t>
      </w:r>
      <w:r w:rsidR="00712354" w:rsidRPr="00AE3367">
        <w:rPr>
          <w:rFonts w:cs="Times New Roman"/>
          <w:bCs/>
          <w:noProof/>
          <w:sz w:val="28"/>
          <w:szCs w:val="28"/>
        </w:rPr>
        <w:t xml:space="preserve"> presunta irregularidad del acta que resultó luego de la sesión que dio por cerrada la fase de instrucción, pues</w:t>
      </w:r>
      <w:r w:rsidR="00E97F7A" w:rsidRPr="00AE3367">
        <w:rPr>
          <w:rFonts w:cs="Times New Roman"/>
          <w:bCs/>
          <w:noProof/>
          <w:sz w:val="28"/>
          <w:szCs w:val="28"/>
        </w:rPr>
        <w:t>,</w:t>
      </w:r>
      <w:r w:rsidR="00712354" w:rsidRPr="00AE3367">
        <w:rPr>
          <w:rFonts w:cs="Times New Roman"/>
          <w:bCs/>
          <w:noProof/>
          <w:sz w:val="28"/>
          <w:szCs w:val="28"/>
        </w:rPr>
        <w:t xml:space="preserve"> advirt</w:t>
      </w:r>
      <w:r w:rsidR="00E97F7A" w:rsidRPr="00AE3367">
        <w:rPr>
          <w:rFonts w:cs="Times New Roman"/>
          <w:bCs/>
          <w:noProof/>
          <w:sz w:val="28"/>
          <w:szCs w:val="28"/>
        </w:rPr>
        <w:t>ió,</w:t>
      </w:r>
      <w:r w:rsidR="00712354" w:rsidRPr="00AE3367">
        <w:rPr>
          <w:rFonts w:cs="Times New Roman"/>
          <w:bCs/>
          <w:noProof/>
          <w:sz w:val="28"/>
          <w:szCs w:val="28"/>
        </w:rPr>
        <w:t xml:space="preserve"> no se registraron las firmas de los representantes a la Cámara que participaron de la misma</w:t>
      </w:r>
      <w:r w:rsidR="00E77BD9" w:rsidRPr="00AE3367">
        <w:rPr>
          <w:rFonts w:cs="Times New Roman"/>
          <w:bCs/>
          <w:noProof/>
          <w:sz w:val="28"/>
          <w:szCs w:val="28"/>
        </w:rPr>
        <w:t>. Esto</w:t>
      </w:r>
      <w:r w:rsidR="00712354" w:rsidRPr="00AE3367">
        <w:rPr>
          <w:rFonts w:cs="Times New Roman"/>
          <w:bCs/>
          <w:noProof/>
          <w:sz w:val="28"/>
          <w:szCs w:val="28"/>
        </w:rPr>
        <w:t xml:space="preserve"> daría cuenta de la </w:t>
      </w:r>
      <w:r w:rsidR="00E77BD9" w:rsidRPr="00AE3367">
        <w:rPr>
          <w:rFonts w:cs="Times New Roman"/>
          <w:bCs/>
          <w:noProof/>
          <w:sz w:val="28"/>
          <w:szCs w:val="28"/>
        </w:rPr>
        <w:t xml:space="preserve">supuesta </w:t>
      </w:r>
      <w:r w:rsidR="00712354" w:rsidRPr="00AE3367">
        <w:rPr>
          <w:rFonts w:cs="Times New Roman"/>
          <w:bCs/>
          <w:noProof/>
          <w:sz w:val="28"/>
          <w:szCs w:val="28"/>
        </w:rPr>
        <w:t xml:space="preserve">ausencia de quorum para decidir. Afirmó que tampoco se le permitió tener </w:t>
      </w:r>
      <w:r w:rsidR="00712354" w:rsidRPr="00AE3367">
        <w:rPr>
          <w:rFonts w:cs="Times New Roman"/>
          <w:bCs/>
          <w:noProof/>
          <w:sz w:val="28"/>
          <w:szCs w:val="28"/>
        </w:rPr>
        <w:lastRenderedPageBreak/>
        <w:t>acceso al soporte fílmico de dicha diligencia. Todo esto, indicó, daría cuenta de una clara falta de imparcialidad del congresista durante la instrucción del proceso adelantado en contra del exmagistrado Jorge Pretelt Chaljub.</w:t>
      </w:r>
      <w:r w:rsidR="00A9431E" w:rsidRPr="00AE3367">
        <w:rPr>
          <w:rStyle w:val="Refdenotaalpie"/>
          <w:bCs/>
          <w:noProof/>
          <w:sz w:val="28"/>
          <w:szCs w:val="28"/>
        </w:rPr>
        <w:footnoteReference w:id="2"/>
      </w:r>
      <w:r w:rsidR="00A9431E" w:rsidRPr="00AE3367">
        <w:rPr>
          <w:rFonts w:cs="Times New Roman"/>
          <w:bCs/>
          <w:noProof/>
          <w:sz w:val="28"/>
          <w:szCs w:val="28"/>
        </w:rPr>
        <w:t xml:space="preserve"> </w:t>
      </w:r>
    </w:p>
    <w:p w14:paraId="32EC448C" w14:textId="77777777" w:rsidR="00A36ABC" w:rsidRPr="00AE3367" w:rsidRDefault="00A36ABC" w:rsidP="00AE3367">
      <w:pPr>
        <w:jc w:val="both"/>
        <w:rPr>
          <w:rFonts w:cs="Times New Roman"/>
          <w:bCs/>
          <w:noProof/>
          <w:sz w:val="28"/>
          <w:szCs w:val="28"/>
        </w:rPr>
      </w:pPr>
    </w:p>
    <w:p w14:paraId="2D0E7585" w14:textId="5438433C" w:rsidR="00F21EA8" w:rsidRPr="00AE3367" w:rsidRDefault="00A36ABC" w:rsidP="00AE3367">
      <w:pPr>
        <w:jc w:val="both"/>
        <w:rPr>
          <w:rFonts w:cs="Times New Roman"/>
          <w:bCs/>
          <w:noProof/>
          <w:sz w:val="28"/>
          <w:szCs w:val="28"/>
        </w:rPr>
      </w:pPr>
      <w:r w:rsidRPr="00AE3367">
        <w:rPr>
          <w:rFonts w:cs="Times New Roman"/>
          <w:bCs/>
          <w:noProof/>
          <w:sz w:val="28"/>
          <w:szCs w:val="28"/>
        </w:rPr>
        <w:t xml:space="preserve">2. </w:t>
      </w:r>
      <w:r w:rsidR="00BC2322" w:rsidRPr="00AE3367">
        <w:rPr>
          <w:rFonts w:cs="Times New Roman"/>
          <w:bCs/>
          <w:noProof/>
          <w:sz w:val="28"/>
          <w:szCs w:val="28"/>
        </w:rPr>
        <w:t>Mediante Auto del 23 de marzo de 2018, el Procurador Auxiliar para Asuntos Disciplinarios</w:t>
      </w:r>
      <w:r w:rsidR="00F21EA8" w:rsidRPr="00AE3367">
        <w:rPr>
          <w:rFonts w:cs="Times New Roman"/>
          <w:bCs/>
          <w:noProof/>
          <w:sz w:val="28"/>
          <w:szCs w:val="28"/>
        </w:rPr>
        <w:t xml:space="preserve"> señaló que, de acuerdo con los artículos 174 y 178 de la Constitución Política, “</w:t>
      </w:r>
      <w:r w:rsidR="00F21EA8" w:rsidRPr="00AE3367">
        <w:rPr>
          <w:rFonts w:cs="Times New Roman"/>
          <w:bCs/>
          <w:i/>
          <w:noProof/>
          <w:sz w:val="28"/>
          <w:szCs w:val="28"/>
        </w:rPr>
        <w:t>los altos funcionarios del Estado deben ser investigados por la Cámara de Representantes y juzgados por el Senado de la República, función que es netamente jurisdiccional, conforme a lo previsto en el inciso segundo del artículo 116 de la C.P., que prevé ‘El Congreso ejercerá determinadas funciones judiciales’</w:t>
      </w:r>
      <w:r w:rsidR="00F21EA8" w:rsidRPr="00AE3367">
        <w:rPr>
          <w:rFonts w:cs="Times New Roman"/>
          <w:bCs/>
          <w:noProof/>
          <w:sz w:val="28"/>
          <w:szCs w:val="28"/>
        </w:rPr>
        <w:t>”</w:t>
      </w:r>
      <w:r w:rsidR="00F21EA8" w:rsidRPr="00AE3367">
        <w:rPr>
          <w:rStyle w:val="Refdenotaalpie"/>
          <w:bCs/>
          <w:noProof/>
          <w:sz w:val="28"/>
          <w:szCs w:val="28"/>
        </w:rPr>
        <w:footnoteReference w:id="3"/>
      </w:r>
      <w:r w:rsidR="00F21EA8" w:rsidRPr="00AE3367">
        <w:rPr>
          <w:rFonts w:cs="Times New Roman"/>
          <w:bCs/>
          <w:noProof/>
          <w:sz w:val="28"/>
          <w:szCs w:val="28"/>
        </w:rPr>
        <w:t>. Asimismo, indicó que, según el artículo 194 de la Ley 734 de 2002, “</w:t>
      </w:r>
      <w:r w:rsidR="00F21EA8" w:rsidRPr="00AE3367">
        <w:rPr>
          <w:rFonts w:cs="Times New Roman"/>
          <w:bCs/>
          <w:i/>
          <w:noProof/>
          <w:sz w:val="28"/>
          <w:szCs w:val="28"/>
        </w:rPr>
        <w:t>la acción disciplinaria contra los funcionarios judiciales corresponde al Estado y se ejercerá por la Sala Jurisdiccional del Consejo Superior de la Judicatura o por las Salas Disciplinarias de los Consejos Seccionales</w:t>
      </w:r>
      <w:r w:rsidR="00F21EA8" w:rsidRPr="00AE3367">
        <w:rPr>
          <w:rFonts w:cs="Times New Roman"/>
          <w:bCs/>
          <w:noProof/>
          <w:sz w:val="28"/>
          <w:szCs w:val="28"/>
        </w:rPr>
        <w:t>”</w:t>
      </w:r>
      <w:r w:rsidR="00F21EA8" w:rsidRPr="00AE3367">
        <w:rPr>
          <w:rStyle w:val="Refdenotaalpie"/>
          <w:bCs/>
          <w:noProof/>
          <w:sz w:val="28"/>
          <w:szCs w:val="28"/>
        </w:rPr>
        <w:footnoteReference w:id="4"/>
      </w:r>
      <w:r w:rsidR="00F21EA8" w:rsidRPr="00AE3367">
        <w:rPr>
          <w:rFonts w:cs="Times New Roman"/>
          <w:bCs/>
          <w:noProof/>
          <w:sz w:val="28"/>
          <w:szCs w:val="28"/>
        </w:rPr>
        <w:t>. Con base en ello, concluyó que “</w:t>
      </w:r>
      <w:r w:rsidR="00F21EA8" w:rsidRPr="00AE3367">
        <w:rPr>
          <w:rFonts w:cs="Times New Roman"/>
          <w:bCs/>
          <w:i/>
          <w:noProof/>
          <w:sz w:val="28"/>
          <w:szCs w:val="28"/>
        </w:rPr>
        <w:t>es incuestionable que no corresponde al Procurador General de la Nación conocer de la presente queja, sino a la Sala Jurisdiccional Disciplinaria del Consejo Superior de la Judicatura, a donde se enviará el asunto para que emita la decisión que considere pertinente</w:t>
      </w:r>
      <w:r w:rsidR="00F21EA8" w:rsidRPr="00AE3367">
        <w:rPr>
          <w:rFonts w:cs="Times New Roman"/>
          <w:bCs/>
          <w:noProof/>
          <w:sz w:val="28"/>
          <w:szCs w:val="28"/>
        </w:rPr>
        <w:t>”</w:t>
      </w:r>
      <w:r w:rsidR="00F21EA8" w:rsidRPr="00AE3367">
        <w:rPr>
          <w:rStyle w:val="Refdenotaalpie"/>
          <w:bCs/>
          <w:noProof/>
          <w:sz w:val="28"/>
          <w:szCs w:val="28"/>
        </w:rPr>
        <w:footnoteReference w:id="5"/>
      </w:r>
      <w:r w:rsidR="00F21EA8" w:rsidRPr="00AE3367">
        <w:rPr>
          <w:rFonts w:cs="Times New Roman"/>
          <w:bCs/>
          <w:noProof/>
          <w:sz w:val="28"/>
          <w:szCs w:val="28"/>
        </w:rPr>
        <w:t xml:space="preserve">. </w:t>
      </w:r>
    </w:p>
    <w:p w14:paraId="1EBF2DCF" w14:textId="77777777" w:rsidR="00F21EA8" w:rsidRPr="00AE3367" w:rsidRDefault="00F21EA8" w:rsidP="00AE3367">
      <w:pPr>
        <w:jc w:val="both"/>
        <w:rPr>
          <w:rFonts w:cs="Times New Roman"/>
          <w:bCs/>
          <w:noProof/>
          <w:sz w:val="28"/>
          <w:szCs w:val="28"/>
        </w:rPr>
      </w:pPr>
    </w:p>
    <w:p w14:paraId="274D2469" w14:textId="77777777" w:rsidR="00BC2322" w:rsidRPr="00AE3367" w:rsidRDefault="00F21EA8" w:rsidP="00AE3367">
      <w:pPr>
        <w:jc w:val="both"/>
        <w:rPr>
          <w:rFonts w:cs="Times New Roman"/>
          <w:bCs/>
          <w:noProof/>
          <w:sz w:val="28"/>
          <w:szCs w:val="28"/>
        </w:rPr>
      </w:pPr>
      <w:r w:rsidRPr="00AE3367">
        <w:rPr>
          <w:rFonts w:cs="Times New Roman"/>
          <w:bCs/>
          <w:noProof/>
          <w:sz w:val="28"/>
          <w:szCs w:val="28"/>
        </w:rPr>
        <w:t xml:space="preserve">3. Con fundamento en lo anterior, </w:t>
      </w:r>
      <w:r w:rsidR="00BC2322" w:rsidRPr="00AE3367">
        <w:rPr>
          <w:rFonts w:cs="Times New Roman"/>
          <w:bCs/>
          <w:noProof/>
          <w:sz w:val="28"/>
          <w:szCs w:val="28"/>
        </w:rPr>
        <w:t>decidió “[r]</w:t>
      </w:r>
      <w:r w:rsidR="00BC2322" w:rsidRPr="00AE3367">
        <w:rPr>
          <w:rFonts w:cs="Times New Roman"/>
          <w:bCs/>
          <w:i/>
          <w:noProof/>
          <w:sz w:val="28"/>
          <w:szCs w:val="28"/>
        </w:rPr>
        <w:t>emitir la queja presentada por el abogado Abelardo De la Espriella en contra del Representante Investigador Julián Bedoya Pulgarín, a la Sala Jurisdiccional Disciplinaria del Consejo Superior de la Judicatura, para lo de su competencia, de conformidad con los razonamientos hechos en la parte motiva del presente auto</w:t>
      </w:r>
      <w:r w:rsidR="00BC2322" w:rsidRPr="00AE3367">
        <w:rPr>
          <w:rFonts w:cs="Times New Roman"/>
          <w:bCs/>
          <w:noProof/>
          <w:sz w:val="28"/>
          <w:szCs w:val="28"/>
        </w:rPr>
        <w:t>”</w:t>
      </w:r>
      <w:r w:rsidR="00BC2322" w:rsidRPr="00AE3367">
        <w:rPr>
          <w:rStyle w:val="Refdenotaalpie"/>
          <w:bCs/>
          <w:noProof/>
          <w:sz w:val="28"/>
          <w:szCs w:val="28"/>
        </w:rPr>
        <w:footnoteReference w:id="6"/>
      </w:r>
      <w:r w:rsidR="00BC2322" w:rsidRPr="00AE3367">
        <w:rPr>
          <w:rFonts w:cs="Times New Roman"/>
          <w:bCs/>
          <w:noProof/>
          <w:sz w:val="28"/>
          <w:szCs w:val="28"/>
        </w:rPr>
        <w:t>.</w:t>
      </w:r>
    </w:p>
    <w:p w14:paraId="557A8B30" w14:textId="77777777" w:rsidR="00F21EA8" w:rsidRPr="00AE3367" w:rsidRDefault="00F21EA8" w:rsidP="00AE3367">
      <w:pPr>
        <w:jc w:val="both"/>
        <w:rPr>
          <w:rFonts w:cs="Times New Roman"/>
          <w:bCs/>
          <w:noProof/>
          <w:sz w:val="28"/>
          <w:szCs w:val="28"/>
        </w:rPr>
      </w:pPr>
    </w:p>
    <w:p w14:paraId="593A8F5F" w14:textId="77777777" w:rsidR="00470F12" w:rsidRPr="00AE3367" w:rsidRDefault="00907B1C" w:rsidP="00AE3367">
      <w:pPr>
        <w:jc w:val="both"/>
        <w:rPr>
          <w:rFonts w:cs="Times New Roman"/>
          <w:bCs/>
          <w:noProof/>
          <w:sz w:val="28"/>
          <w:szCs w:val="28"/>
        </w:rPr>
      </w:pPr>
      <w:r w:rsidRPr="00AE3367">
        <w:rPr>
          <w:rFonts w:cs="Times New Roman"/>
          <w:bCs/>
          <w:noProof/>
          <w:sz w:val="28"/>
          <w:szCs w:val="28"/>
        </w:rPr>
        <w:t>4.</w:t>
      </w:r>
      <w:r w:rsidR="00F21EA8" w:rsidRPr="00AE3367">
        <w:rPr>
          <w:rFonts w:cs="Times New Roman"/>
          <w:bCs/>
          <w:noProof/>
          <w:sz w:val="28"/>
          <w:szCs w:val="28"/>
        </w:rPr>
        <w:t xml:space="preserve"> Por su parte, la Sala Jurisdiccional Disciplinaria del Consejo Superior de la Judicatura, en providencia del 25 de</w:t>
      </w:r>
      <w:r w:rsidR="00470F12" w:rsidRPr="00AE3367">
        <w:rPr>
          <w:rFonts w:cs="Times New Roman"/>
          <w:bCs/>
          <w:noProof/>
          <w:sz w:val="28"/>
          <w:szCs w:val="28"/>
        </w:rPr>
        <w:t xml:space="preserve"> septiembre de 2019, sostuvo lo siguiente: </w:t>
      </w:r>
    </w:p>
    <w:p w14:paraId="369B0EAC" w14:textId="77777777" w:rsidR="00470F12" w:rsidRPr="00AE3367" w:rsidRDefault="00470F12" w:rsidP="00AE3367">
      <w:pPr>
        <w:jc w:val="both"/>
        <w:rPr>
          <w:rFonts w:cs="Times New Roman"/>
          <w:bCs/>
          <w:noProof/>
          <w:sz w:val="28"/>
          <w:szCs w:val="28"/>
        </w:rPr>
      </w:pPr>
    </w:p>
    <w:p w14:paraId="758EAA2F" w14:textId="77777777" w:rsidR="00907B1C" w:rsidRPr="00AE3367" w:rsidRDefault="00F21EA8" w:rsidP="00AE3367">
      <w:pPr>
        <w:ind w:left="567"/>
        <w:jc w:val="both"/>
        <w:rPr>
          <w:rFonts w:cs="Times New Roman"/>
          <w:bCs/>
          <w:noProof/>
          <w:sz w:val="28"/>
          <w:szCs w:val="28"/>
        </w:rPr>
      </w:pPr>
      <w:r w:rsidRPr="00AE3367">
        <w:rPr>
          <w:rFonts w:cs="Times New Roman"/>
          <w:bCs/>
          <w:noProof/>
          <w:sz w:val="28"/>
          <w:szCs w:val="28"/>
        </w:rPr>
        <w:t>“</w:t>
      </w:r>
      <w:r w:rsidRPr="00AE3367">
        <w:rPr>
          <w:rFonts w:cs="Times New Roman"/>
          <w:bCs/>
          <w:i/>
          <w:noProof/>
          <w:sz w:val="28"/>
          <w:szCs w:val="28"/>
        </w:rPr>
        <w:t>las funciones atribuidas a esta Corporación, si bien fue contemplada inicialmente como una posibilidad de disciplinar a altos dignatarios, dicha facultad no se consolidó, al punto que la Ley Estatutaria definió el campo de aplicación de</w:t>
      </w:r>
      <w:r w:rsidR="00470F12" w:rsidRPr="00AE3367">
        <w:rPr>
          <w:rFonts w:cs="Times New Roman"/>
          <w:bCs/>
          <w:i/>
          <w:noProof/>
          <w:sz w:val="28"/>
          <w:szCs w:val="28"/>
        </w:rPr>
        <w:t xml:space="preserve"> competencia respecto de los sujetos disciplinarios que despliegan una actividad judicial o jurisdiccional, teniendo entre estos claramente los funcionarios de la Rama Judicial. // Esto quiere decir, que descendiendo al asunto de autos, la queja presentada por el doctor Abelardo De la Espriella contra el Representante a la Cámara, doctor Julián Bedoya Pulgarín, denunciado este último que actuó en calidad de instructor ponente de la Comisión de Investigación y Acusación de la Cámara de Representantes, que por competencia constitucional y legal esta Corporación tal como se dijo en </w:t>
      </w:r>
      <w:r w:rsidR="00470F12" w:rsidRPr="00AE3367">
        <w:rPr>
          <w:rFonts w:cs="Times New Roman"/>
          <w:bCs/>
          <w:i/>
          <w:noProof/>
          <w:sz w:val="28"/>
          <w:szCs w:val="28"/>
        </w:rPr>
        <w:lastRenderedPageBreak/>
        <w:t>líneas anteriores no es la competente para conocer del asunto, se itera, por no estar estipulado por la ley</w:t>
      </w:r>
      <w:r w:rsidR="00470F12" w:rsidRPr="00AE3367">
        <w:rPr>
          <w:rFonts w:cs="Times New Roman"/>
          <w:bCs/>
          <w:noProof/>
          <w:sz w:val="28"/>
          <w:szCs w:val="28"/>
        </w:rPr>
        <w:t>”</w:t>
      </w:r>
      <w:r w:rsidR="00470F12" w:rsidRPr="00AE3367">
        <w:rPr>
          <w:rStyle w:val="Refdenotaalpie"/>
          <w:bCs/>
          <w:noProof/>
          <w:sz w:val="28"/>
          <w:szCs w:val="28"/>
        </w:rPr>
        <w:footnoteReference w:id="7"/>
      </w:r>
    </w:p>
    <w:p w14:paraId="7D23B4C6" w14:textId="77777777" w:rsidR="00470F12" w:rsidRPr="00AE3367" w:rsidRDefault="00470F12" w:rsidP="00AE3367">
      <w:pPr>
        <w:jc w:val="both"/>
        <w:rPr>
          <w:rFonts w:cs="Times New Roman"/>
          <w:bCs/>
          <w:noProof/>
          <w:sz w:val="28"/>
          <w:szCs w:val="28"/>
        </w:rPr>
      </w:pPr>
    </w:p>
    <w:p w14:paraId="5DDAF8C1" w14:textId="77777777" w:rsidR="00470F12" w:rsidRPr="00AE3367" w:rsidRDefault="00731AE2" w:rsidP="00AE3367">
      <w:pPr>
        <w:jc w:val="both"/>
        <w:rPr>
          <w:rFonts w:cs="Times New Roman"/>
          <w:bCs/>
          <w:noProof/>
          <w:sz w:val="28"/>
          <w:szCs w:val="28"/>
        </w:rPr>
      </w:pPr>
      <w:r w:rsidRPr="00AE3367">
        <w:rPr>
          <w:rFonts w:cs="Times New Roman"/>
          <w:bCs/>
          <w:noProof/>
          <w:sz w:val="28"/>
          <w:szCs w:val="28"/>
        </w:rPr>
        <w:t xml:space="preserve">5. </w:t>
      </w:r>
      <w:r w:rsidR="00470F12" w:rsidRPr="00AE3367">
        <w:rPr>
          <w:rFonts w:cs="Times New Roman"/>
          <w:bCs/>
          <w:noProof/>
          <w:sz w:val="28"/>
          <w:szCs w:val="28"/>
        </w:rPr>
        <w:t>Adicionalmente, indicó que</w:t>
      </w:r>
      <w:r w:rsidRPr="00AE3367">
        <w:rPr>
          <w:rFonts w:cs="Times New Roman"/>
          <w:bCs/>
          <w:noProof/>
          <w:sz w:val="28"/>
          <w:szCs w:val="28"/>
        </w:rPr>
        <w:t>,</w:t>
      </w:r>
      <w:r w:rsidR="00470F12" w:rsidRPr="00AE3367">
        <w:rPr>
          <w:rFonts w:cs="Times New Roman"/>
          <w:bCs/>
          <w:noProof/>
          <w:sz w:val="28"/>
          <w:szCs w:val="28"/>
        </w:rPr>
        <w:t xml:space="preserve"> de acuerdo con el artículo 178 de la Constitución Política y la Ley 5 de 1992, a la Comisión de Investigación y Acusación de la Cámara de Representantes le corresponde conocer de las denuncias penales o quejas disciplinarias formuladas contra Magistrados del Consejo Superior de la Judicatura. </w:t>
      </w:r>
      <w:r w:rsidR="00587171" w:rsidRPr="00AE3367">
        <w:rPr>
          <w:rFonts w:cs="Times New Roman"/>
          <w:bCs/>
          <w:noProof/>
          <w:sz w:val="28"/>
          <w:szCs w:val="28"/>
        </w:rPr>
        <w:t>Por ello</w:t>
      </w:r>
      <w:r w:rsidR="00470F12" w:rsidRPr="00AE3367">
        <w:rPr>
          <w:rFonts w:cs="Times New Roman"/>
          <w:bCs/>
          <w:noProof/>
          <w:sz w:val="28"/>
          <w:szCs w:val="28"/>
        </w:rPr>
        <w:t>,</w:t>
      </w:r>
      <w:r w:rsidR="00587171" w:rsidRPr="00AE3367">
        <w:rPr>
          <w:rFonts w:cs="Times New Roman"/>
          <w:bCs/>
          <w:noProof/>
          <w:sz w:val="28"/>
          <w:szCs w:val="28"/>
        </w:rPr>
        <w:t xml:space="preserve"> insistió en que</w:t>
      </w:r>
      <w:r w:rsidR="00470F12" w:rsidRPr="00AE3367">
        <w:rPr>
          <w:rFonts w:cs="Times New Roman"/>
          <w:bCs/>
          <w:noProof/>
          <w:sz w:val="28"/>
          <w:szCs w:val="28"/>
        </w:rPr>
        <w:t xml:space="preserve"> “</w:t>
      </w:r>
      <w:r w:rsidR="00470F12" w:rsidRPr="00AE3367">
        <w:rPr>
          <w:rFonts w:cs="Times New Roman"/>
          <w:bCs/>
          <w:i/>
          <w:noProof/>
          <w:sz w:val="28"/>
          <w:szCs w:val="28"/>
        </w:rPr>
        <w:t>no resulta acerado señalar</w:t>
      </w:r>
      <w:r w:rsidRPr="00AE3367">
        <w:rPr>
          <w:rFonts w:cs="Times New Roman"/>
          <w:bCs/>
          <w:i/>
          <w:noProof/>
          <w:sz w:val="28"/>
          <w:szCs w:val="28"/>
        </w:rPr>
        <w:t xml:space="preserve"> que</w:t>
      </w:r>
      <w:r w:rsidR="00470F12" w:rsidRPr="00AE3367">
        <w:rPr>
          <w:rFonts w:cs="Times New Roman"/>
          <w:bCs/>
          <w:i/>
          <w:noProof/>
          <w:sz w:val="28"/>
          <w:szCs w:val="28"/>
        </w:rPr>
        <w:t xml:space="preserve"> la Sala Jurisdiccional Disciplinaria pueda juzgar a sus ‘juzgadores’, pues con esto se rompería el equilibrio del sistema de frenos y contrapesos, y a su vez, la independencia y autonomía judicial</w:t>
      </w:r>
      <w:r w:rsidR="00470F12" w:rsidRPr="00AE3367">
        <w:rPr>
          <w:rFonts w:cs="Times New Roman"/>
          <w:bCs/>
          <w:noProof/>
          <w:sz w:val="28"/>
          <w:szCs w:val="28"/>
        </w:rPr>
        <w:t xml:space="preserve">”. </w:t>
      </w:r>
    </w:p>
    <w:p w14:paraId="3485E273" w14:textId="77777777" w:rsidR="00731AE2" w:rsidRPr="00AE3367" w:rsidRDefault="00731AE2" w:rsidP="00AE3367">
      <w:pPr>
        <w:jc w:val="both"/>
        <w:rPr>
          <w:rFonts w:cs="Times New Roman"/>
          <w:bCs/>
          <w:noProof/>
          <w:sz w:val="28"/>
          <w:szCs w:val="28"/>
        </w:rPr>
      </w:pPr>
    </w:p>
    <w:p w14:paraId="0F4D238E" w14:textId="77777777" w:rsidR="00731AE2" w:rsidRPr="00AE3367" w:rsidRDefault="00731AE2" w:rsidP="00AE3367">
      <w:pPr>
        <w:jc w:val="both"/>
        <w:rPr>
          <w:rFonts w:cs="Times New Roman"/>
          <w:bCs/>
          <w:noProof/>
          <w:sz w:val="28"/>
          <w:szCs w:val="28"/>
        </w:rPr>
      </w:pPr>
      <w:r w:rsidRPr="00AE3367">
        <w:rPr>
          <w:rFonts w:cs="Times New Roman"/>
          <w:bCs/>
          <w:noProof/>
          <w:sz w:val="28"/>
          <w:szCs w:val="28"/>
        </w:rPr>
        <w:t>6. Por lo expuesto, la Sala Jurisdiccional Disciplinaria del Consejo Superior de la Judicatura resolvió “</w:t>
      </w:r>
      <w:r w:rsidRPr="00AE3367">
        <w:rPr>
          <w:rFonts w:cs="Times New Roman"/>
          <w:bCs/>
          <w:i/>
          <w:noProof/>
          <w:sz w:val="28"/>
          <w:szCs w:val="28"/>
        </w:rPr>
        <w:t>abstenerse de conocer de la queja presentada por el doctor Abelardo De la Espriella contra el Representante a la Cámara, doctor Julián Bedoya Pulgarín, para en su lugar, proponer conflicto negativo de competencia con la Procuraduría General de la Nación, al señalarse no ser la Corporación competente para ello, remitiéndose el expediente a la Corte Constitucional, para lo de su cargo</w:t>
      </w:r>
      <w:r w:rsidRPr="00AE3367">
        <w:rPr>
          <w:rFonts w:cs="Times New Roman"/>
          <w:bCs/>
          <w:noProof/>
          <w:sz w:val="28"/>
          <w:szCs w:val="28"/>
        </w:rPr>
        <w:t>”</w:t>
      </w:r>
      <w:r w:rsidRPr="00AE3367">
        <w:rPr>
          <w:rStyle w:val="Refdenotaalpie"/>
          <w:bCs/>
          <w:noProof/>
          <w:sz w:val="28"/>
          <w:szCs w:val="28"/>
        </w:rPr>
        <w:footnoteReference w:id="8"/>
      </w:r>
      <w:r w:rsidRPr="00AE3367">
        <w:rPr>
          <w:rFonts w:cs="Times New Roman"/>
          <w:bCs/>
          <w:noProof/>
          <w:sz w:val="28"/>
          <w:szCs w:val="28"/>
        </w:rPr>
        <w:t xml:space="preserve">. </w:t>
      </w:r>
    </w:p>
    <w:p w14:paraId="1D59C6E5" w14:textId="77777777" w:rsidR="00731AE2" w:rsidRPr="00AE3367" w:rsidRDefault="00731AE2" w:rsidP="00AE3367">
      <w:pPr>
        <w:jc w:val="both"/>
        <w:rPr>
          <w:rFonts w:cs="Times New Roman"/>
          <w:bCs/>
          <w:noProof/>
          <w:sz w:val="28"/>
          <w:szCs w:val="28"/>
        </w:rPr>
      </w:pPr>
    </w:p>
    <w:p w14:paraId="182FFD89" w14:textId="77777777" w:rsidR="00731AE2" w:rsidRPr="00AE3367" w:rsidRDefault="00731AE2" w:rsidP="00AE3367">
      <w:pPr>
        <w:jc w:val="both"/>
        <w:rPr>
          <w:rFonts w:cs="Times New Roman"/>
          <w:bCs/>
          <w:noProof/>
          <w:sz w:val="28"/>
          <w:szCs w:val="28"/>
        </w:rPr>
      </w:pPr>
      <w:r w:rsidRPr="00AE3367">
        <w:rPr>
          <w:rFonts w:cs="Times New Roman"/>
          <w:bCs/>
          <w:noProof/>
          <w:sz w:val="28"/>
          <w:szCs w:val="28"/>
        </w:rPr>
        <w:t>7. Ahora bien, como sustento de la remisión hecha a la Corte Constitucional, la Sala Jurisdiccional Disciplinaria en cita indicó</w:t>
      </w:r>
      <w:r w:rsidR="00F8560A" w:rsidRPr="00AE3367">
        <w:rPr>
          <w:rFonts w:cs="Times New Roman"/>
          <w:bCs/>
          <w:noProof/>
          <w:sz w:val="28"/>
          <w:szCs w:val="28"/>
        </w:rPr>
        <w:t xml:space="preserve"> que</w:t>
      </w:r>
      <w:r w:rsidRPr="00AE3367">
        <w:rPr>
          <w:rFonts w:cs="Times New Roman"/>
          <w:bCs/>
          <w:noProof/>
          <w:sz w:val="28"/>
          <w:szCs w:val="28"/>
        </w:rPr>
        <w:t xml:space="preserve"> </w:t>
      </w:r>
      <w:r w:rsidR="002B790E" w:rsidRPr="00AE3367">
        <w:rPr>
          <w:rFonts w:cs="Times New Roman"/>
          <w:bCs/>
          <w:noProof/>
          <w:sz w:val="28"/>
          <w:szCs w:val="28"/>
        </w:rPr>
        <w:t>esto obedece a</w:t>
      </w:r>
      <w:r w:rsidRPr="00AE3367">
        <w:rPr>
          <w:rFonts w:cs="Times New Roman"/>
          <w:bCs/>
          <w:noProof/>
          <w:sz w:val="28"/>
          <w:szCs w:val="28"/>
        </w:rPr>
        <w:t xml:space="preserve">: </w:t>
      </w:r>
    </w:p>
    <w:p w14:paraId="041E290B" w14:textId="77777777" w:rsidR="00731AE2" w:rsidRPr="00AE3367" w:rsidRDefault="00731AE2" w:rsidP="00AE3367">
      <w:pPr>
        <w:jc w:val="both"/>
        <w:rPr>
          <w:rFonts w:cs="Times New Roman"/>
          <w:bCs/>
          <w:noProof/>
          <w:sz w:val="28"/>
          <w:szCs w:val="28"/>
        </w:rPr>
      </w:pPr>
    </w:p>
    <w:p w14:paraId="14194E49" w14:textId="77777777" w:rsidR="00731AE2" w:rsidRPr="00AE3367" w:rsidRDefault="00731AE2" w:rsidP="00AE3367">
      <w:pPr>
        <w:ind w:left="567"/>
        <w:jc w:val="both"/>
        <w:rPr>
          <w:rFonts w:cs="Times New Roman"/>
          <w:bCs/>
          <w:noProof/>
          <w:sz w:val="28"/>
          <w:szCs w:val="28"/>
        </w:rPr>
      </w:pPr>
      <w:r w:rsidRPr="00AE3367">
        <w:rPr>
          <w:rFonts w:cs="Times New Roman"/>
          <w:bCs/>
          <w:noProof/>
          <w:sz w:val="28"/>
          <w:szCs w:val="28"/>
        </w:rPr>
        <w:t>“</w:t>
      </w:r>
      <w:r w:rsidRPr="00AE3367">
        <w:rPr>
          <w:rFonts w:cs="Times New Roman"/>
          <w:bCs/>
          <w:i/>
          <w:noProof/>
          <w:sz w:val="28"/>
          <w:szCs w:val="28"/>
        </w:rPr>
        <w:t>la competencia especial asignada por el Constituyente derivado con la aprobación del Acto Legislativo No. 02 de 2015, en el cual se dispuso en el artículo 14, modificar el artículo 241 Constitucional e incluirse el numeral 11 referente a una función de ‘Dirimir los conflictos de competencia que ocurran entre las distintas jurisdicciones’, siendo el único Tribunal de Conflictos creado por la Constitución, y al verse que esta Sala rechaza el conocimiento del presente asunto, no resulta más, que accionar dicha competencia constitucional</w:t>
      </w:r>
      <w:r w:rsidRPr="00AE3367">
        <w:rPr>
          <w:rFonts w:cs="Times New Roman"/>
          <w:bCs/>
          <w:noProof/>
          <w:sz w:val="28"/>
          <w:szCs w:val="28"/>
        </w:rPr>
        <w:t>”</w:t>
      </w:r>
      <w:r w:rsidRPr="00AE3367">
        <w:rPr>
          <w:rStyle w:val="Refdenotaalpie"/>
          <w:bCs/>
          <w:noProof/>
          <w:sz w:val="28"/>
          <w:szCs w:val="28"/>
        </w:rPr>
        <w:footnoteReference w:id="9"/>
      </w:r>
      <w:r w:rsidRPr="00AE3367">
        <w:rPr>
          <w:rFonts w:cs="Times New Roman"/>
          <w:bCs/>
          <w:noProof/>
          <w:sz w:val="28"/>
          <w:szCs w:val="28"/>
        </w:rPr>
        <w:t xml:space="preserve">. </w:t>
      </w:r>
    </w:p>
    <w:p w14:paraId="29DCFE58" w14:textId="77777777" w:rsidR="00907B1C" w:rsidRPr="00AE3367" w:rsidRDefault="00907B1C" w:rsidP="00AE3367">
      <w:pPr>
        <w:jc w:val="both"/>
        <w:rPr>
          <w:rFonts w:cs="Times New Roman"/>
          <w:bCs/>
          <w:noProof/>
          <w:sz w:val="28"/>
          <w:szCs w:val="28"/>
        </w:rPr>
      </w:pPr>
    </w:p>
    <w:p w14:paraId="1E1635CF" w14:textId="77777777" w:rsidR="00731AE2" w:rsidRPr="00AE3367" w:rsidRDefault="00731AE2" w:rsidP="00AE3367">
      <w:pPr>
        <w:jc w:val="both"/>
        <w:rPr>
          <w:rFonts w:cs="Times New Roman"/>
          <w:bCs/>
          <w:noProof/>
          <w:sz w:val="28"/>
          <w:szCs w:val="28"/>
        </w:rPr>
      </w:pPr>
      <w:r w:rsidRPr="00AE3367">
        <w:rPr>
          <w:rFonts w:cs="Times New Roman"/>
          <w:bCs/>
          <w:noProof/>
          <w:sz w:val="28"/>
          <w:szCs w:val="28"/>
        </w:rPr>
        <w:t xml:space="preserve">8. </w:t>
      </w:r>
      <w:r w:rsidR="00D23241" w:rsidRPr="00AE3367">
        <w:rPr>
          <w:rFonts w:cs="Times New Roman"/>
          <w:bCs/>
          <w:noProof/>
          <w:sz w:val="28"/>
          <w:szCs w:val="28"/>
        </w:rPr>
        <w:t>Así</w:t>
      </w:r>
      <w:r w:rsidRPr="00AE3367">
        <w:rPr>
          <w:rFonts w:cs="Times New Roman"/>
          <w:bCs/>
          <w:noProof/>
          <w:sz w:val="28"/>
          <w:szCs w:val="28"/>
        </w:rPr>
        <w:t>, el 18 d</w:t>
      </w:r>
      <w:r w:rsidR="00D23241" w:rsidRPr="00AE3367">
        <w:rPr>
          <w:rFonts w:cs="Times New Roman"/>
          <w:bCs/>
          <w:noProof/>
          <w:sz w:val="28"/>
          <w:szCs w:val="28"/>
        </w:rPr>
        <w:t>e octubre de 2019</w:t>
      </w:r>
      <w:r w:rsidR="009B352A" w:rsidRPr="00AE3367">
        <w:rPr>
          <w:rFonts w:cs="Times New Roman"/>
          <w:bCs/>
          <w:noProof/>
          <w:sz w:val="28"/>
          <w:szCs w:val="28"/>
        </w:rPr>
        <w:t>,</w:t>
      </w:r>
      <w:r w:rsidRPr="00AE3367">
        <w:rPr>
          <w:rFonts w:cs="Times New Roman"/>
          <w:bCs/>
          <w:noProof/>
          <w:sz w:val="28"/>
          <w:szCs w:val="28"/>
        </w:rPr>
        <w:t xml:space="preserve"> el expediente CJU-0049 fue recibido por parte de la Corte Constitucional, a efectos de ser resuelto a través de la presente providencia.  </w:t>
      </w:r>
    </w:p>
    <w:p w14:paraId="7803D2A6" w14:textId="77777777" w:rsidR="001F38E4" w:rsidRPr="00AE3367" w:rsidRDefault="001F38E4" w:rsidP="00AE3367">
      <w:pPr>
        <w:rPr>
          <w:rFonts w:cs="Times New Roman"/>
          <w:b/>
          <w:noProof/>
          <w:sz w:val="28"/>
          <w:szCs w:val="28"/>
        </w:rPr>
      </w:pPr>
    </w:p>
    <w:p w14:paraId="45B52B1B" w14:textId="77777777" w:rsidR="00FC6EAE" w:rsidRPr="00AE3367" w:rsidRDefault="00FC6EAE" w:rsidP="00AE3367">
      <w:pPr>
        <w:jc w:val="both"/>
        <w:rPr>
          <w:rFonts w:eastAsia="Calibri" w:cs="Times New Roman"/>
          <w:b/>
          <w:noProof/>
          <w:color w:val="000000" w:themeColor="text1"/>
          <w:sz w:val="28"/>
          <w:szCs w:val="28"/>
        </w:rPr>
      </w:pPr>
      <w:r w:rsidRPr="00AE3367">
        <w:rPr>
          <w:rFonts w:eastAsia="Calibri" w:cs="Times New Roman"/>
          <w:b/>
          <w:noProof/>
          <w:color w:val="000000" w:themeColor="text1"/>
          <w:sz w:val="28"/>
          <w:szCs w:val="28"/>
        </w:rPr>
        <w:t>II. CONSIDERACIONES DE LA CORTE CONSTITUCIONAL</w:t>
      </w:r>
    </w:p>
    <w:p w14:paraId="52438DF0" w14:textId="77777777" w:rsidR="00FC6EAE" w:rsidRPr="00AE3367" w:rsidRDefault="00FC6EAE" w:rsidP="00AE3367">
      <w:pPr>
        <w:jc w:val="both"/>
        <w:rPr>
          <w:rFonts w:eastAsia="Calibri" w:cs="Times New Roman"/>
          <w:noProof/>
          <w:color w:val="000000" w:themeColor="text1"/>
          <w:sz w:val="28"/>
          <w:szCs w:val="28"/>
        </w:rPr>
      </w:pPr>
    </w:p>
    <w:p w14:paraId="04A915F2" w14:textId="3E268C8E" w:rsidR="00FC6EAE" w:rsidRPr="00AE3367" w:rsidRDefault="00442F57" w:rsidP="00AE3367">
      <w:pPr>
        <w:jc w:val="both"/>
        <w:rPr>
          <w:rFonts w:cs="Times New Roman"/>
          <w:b/>
          <w:noProof/>
          <w:color w:val="000000" w:themeColor="text1"/>
          <w:sz w:val="28"/>
          <w:szCs w:val="28"/>
        </w:rPr>
      </w:pPr>
      <w:r w:rsidRPr="00AE3367">
        <w:rPr>
          <w:rFonts w:cs="Times New Roman"/>
          <w:b/>
          <w:noProof/>
          <w:color w:val="000000" w:themeColor="text1"/>
          <w:sz w:val="28"/>
          <w:szCs w:val="28"/>
        </w:rPr>
        <w:t xml:space="preserve">1. Competencia: la Corte Constitucional </w:t>
      </w:r>
      <w:r w:rsidR="00BB2DAD" w:rsidRPr="00AE3367">
        <w:rPr>
          <w:rFonts w:cs="Times New Roman"/>
          <w:b/>
          <w:noProof/>
          <w:color w:val="000000" w:themeColor="text1"/>
          <w:sz w:val="28"/>
          <w:szCs w:val="28"/>
        </w:rPr>
        <w:t xml:space="preserve">actualmente </w:t>
      </w:r>
      <w:r w:rsidRPr="00AE3367">
        <w:rPr>
          <w:rFonts w:cs="Times New Roman"/>
          <w:b/>
          <w:noProof/>
          <w:color w:val="000000" w:themeColor="text1"/>
          <w:sz w:val="28"/>
          <w:szCs w:val="28"/>
        </w:rPr>
        <w:t xml:space="preserve">no está </w:t>
      </w:r>
      <w:r w:rsidR="00424D96" w:rsidRPr="00AE3367">
        <w:rPr>
          <w:rFonts w:cs="Times New Roman"/>
          <w:b/>
          <w:noProof/>
          <w:color w:val="000000" w:themeColor="text1"/>
          <w:sz w:val="28"/>
          <w:szCs w:val="28"/>
        </w:rPr>
        <w:t>facultada</w:t>
      </w:r>
      <w:r w:rsidRPr="00AE3367">
        <w:rPr>
          <w:rFonts w:cs="Times New Roman"/>
          <w:b/>
          <w:noProof/>
          <w:color w:val="000000" w:themeColor="text1"/>
          <w:sz w:val="28"/>
          <w:szCs w:val="28"/>
        </w:rPr>
        <w:t xml:space="preserve"> para </w:t>
      </w:r>
      <w:r w:rsidR="00BB2DAD" w:rsidRPr="00AE3367">
        <w:rPr>
          <w:rFonts w:cs="Times New Roman"/>
          <w:b/>
          <w:noProof/>
          <w:color w:val="000000" w:themeColor="text1"/>
          <w:sz w:val="28"/>
          <w:szCs w:val="28"/>
        </w:rPr>
        <w:t>ejercer</w:t>
      </w:r>
      <w:r w:rsidR="00424D96" w:rsidRPr="00AE3367">
        <w:rPr>
          <w:rFonts w:cs="Times New Roman"/>
          <w:b/>
          <w:noProof/>
          <w:color w:val="000000" w:themeColor="text1"/>
          <w:sz w:val="28"/>
          <w:szCs w:val="28"/>
        </w:rPr>
        <w:t xml:space="preserve"> la </w:t>
      </w:r>
      <w:r w:rsidRPr="00AE3367">
        <w:rPr>
          <w:rFonts w:cs="Times New Roman"/>
          <w:b/>
          <w:noProof/>
          <w:color w:val="000000" w:themeColor="text1"/>
          <w:sz w:val="28"/>
          <w:szCs w:val="28"/>
        </w:rPr>
        <w:t>competencia establecida en el numeral 11 del artículo 241 de la Constitución Política, salvo la excepción contenida en el Acto Legislativo 01 de 2017</w:t>
      </w:r>
      <w:r w:rsidR="003F6B3D" w:rsidRPr="00AE3367">
        <w:rPr>
          <w:rFonts w:cs="Times New Roman"/>
          <w:b/>
          <w:noProof/>
          <w:color w:val="000000" w:themeColor="text1"/>
          <w:sz w:val="28"/>
          <w:szCs w:val="28"/>
        </w:rPr>
        <w:t>,</w:t>
      </w:r>
      <w:r w:rsidR="00D04900" w:rsidRPr="00AE3367">
        <w:rPr>
          <w:rFonts w:cs="Times New Roman"/>
          <w:b/>
          <w:noProof/>
          <w:color w:val="000000" w:themeColor="text1"/>
          <w:sz w:val="28"/>
          <w:szCs w:val="28"/>
        </w:rPr>
        <w:t xml:space="preserve"> de conformidad con lo dispuesto en la Sentencia C-674 de 2017</w:t>
      </w:r>
      <w:r w:rsidR="00A106E4" w:rsidRPr="00AE3367">
        <w:rPr>
          <w:rFonts w:cs="Times New Roman"/>
          <w:b/>
          <w:noProof/>
          <w:color w:val="000000" w:themeColor="text1"/>
          <w:sz w:val="28"/>
          <w:szCs w:val="28"/>
        </w:rPr>
        <w:t xml:space="preserve"> </w:t>
      </w:r>
    </w:p>
    <w:p w14:paraId="65BB8BA6" w14:textId="77777777" w:rsidR="007F5D59" w:rsidRPr="00AE3367" w:rsidRDefault="007F5D59" w:rsidP="00AE3367">
      <w:pPr>
        <w:jc w:val="both"/>
        <w:rPr>
          <w:rFonts w:cs="Times New Roman"/>
          <w:b/>
          <w:noProof/>
          <w:color w:val="000000" w:themeColor="text1"/>
          <w:sz w:val="28"/>
          <w:szCs w:val="28"/>
        </w:rPr>
      </w:pPr>
    </w:p>
    <w:p w14:paraId="66E95BFC" w14:textId="3BA1C070" w:rsidR="00257C61" w:rsidRPr="00AE3367" w:rsidRDefault="0043076D" w:rsidP="00AE3367">
      <w:pPr>
        <w:jc w:val="both"/>
        <w:rPr>
          <w:rFonts w:cs="Times New Roman"/>
          <w:noProof/>
          <w:color w:val="000000" w:themeColor="text1"/>
          <w:sz w:val="28"/>
          <w:szCs w:val="28"/>
        </w:rPr>
      </w:pPr>
      <w:r w:rsidRPr="00AE3367">
        <w:rPr>
          <w:rFonts w:cs="Times New Roman"/>
          <w:noProof/>
          <w:color w:val="000000" w:themeColor="text1"/>
          <w:sz w:val="28"/>
          <w:szCs w:val="28"/>
        </w:rPr>
        <w:lastRenderedPageBreak/>
        <w:t>1.</w:t>
      </w:r>
      <w:r w:rsidR="00424D96" w:rsidRPr="00AE3367">
        <w:rPr>
          <w:rFonts w:cs="Times New Roman"/>
          <w:noProof/>
          <w:color w:val="000000" w:themeColor="text1"/>
          <w:sz w:val="28"/>
          <w:szCs w:val="28"/>
        </w:rPr>
        <w:t>1</w:t>
      </w:r>
      <w:r w:rsidRPr="00AE3367">
        <w:rPr>
          <w:rFonts w:cs="Times New Roman"/>
          <w:noProof/>
          <w:color w:val="000000" w:themeColor="text1"/>
          <w:sz w:val="28"/>
          <w:szCs w:val="28"/>
        </w:rPr>
        <w:t xml:space="preserve"> </w:t>
      </w:r>
      <w:r w:rsidR="00257C61" w:rsidRPr="00AE3367">
        <w:rPr>
          <w:rFonts w:cs="Times New Roman"/>
          <w:noProof/>
          <w:color w:val="000000" w:themeColor="text1"/>
          <w:sz w:val="28"/>
          <w:szCs w:val="28"/>
        </w:rPr>
        <w:t>Dado que expediente de la referencia se ha</w:t>
      </w:r>
      <w:r w:rsidR="00BB2DAD" w:rsidRPr="00AE3367">
        <w:rPr>
          <w:rFonts w:cs="Times New Roman"/>
          <w:noProof/>
          <w:color w:val="000000" w:themeColor="text1"/>
          <w:sz w:val="28"/>
          <w:szCs w:val="28"/>
        </w:rPr>
        <w:t xml:space="preserve"> enviado</w:t>
      </w:r>
      <w:r w:rsidR="00257C61" w:rsidRPr="00AE3367">
        <w:rPr>
          <w:rFonts w:cs="Times New Roman"/>
          <w:noProof/>
          <w:color w:val="000000" w:themeColor="text1"/>
          <w:sz w:val="28"/>
          <w:szCs w:val="28"/>
        </w:rPr>
        <w:t xml:space="preserve"> a esta Corporación bajo el argumento de que, según el numeral 11 del artículo 241 de la Constitución, la Corte es competente para “</w:t>
      </w:r>
      <w:r w:rsidR="00257C61" w:rsidRPr="00AE3367">
        <w:rPr>
          <w:rFonts w:cs="Times New Roman"/>
          <w:i/>
          <w:iCs/>
          <w:noProof/>
          <w:color w:val="000000" w:themeColor="text1"/>
          <w:sz w:val="28"/>
          <w:szCs w:val="28"/>
        </w:rPr>
        <w:t>dirimir los conflcitos de competencia que ocurran entre las distintas jurisdiciones</w:t>
      </w:r>
      <w:r w:rsidR="00257C61" w:rsidRPr="00AE3367">
        <w:rPr>
          <w:rFonts w:cs="Times New Roman"/>
          <w:noProof/>
          <w:color w:val="000000" w:themeColor="text1"/>
          <w:sz w:val="28"/>
          <w:szCs w:val="28"/>
        </w:rPr>
        <w:t xml:space="preserve">”, este Tribunal se encuentra </w:t>
      </w:r>
      <w:r w:rsidR="00A655E9" w:rsidRPr="00AE3367">
        <w:rPr>
          <w:rFonts w:cs="Times New Roman"/>
          <w:noProof/>
          <w:color w:val="000000" w:themeColor="text1"/>
          <w:sz w:val="28"/>
          <w:szCs w:val="28"/>
        </w:rPr>
        <w:t>abocado</w:t>
      </w:r>
      <w:r w:rsidR="00257C61" w:rsidRPr="00AE3367">
        <w:rPr>
          <w:rFonts w:cs="Times New Roman"/>
          <w:noProof/>
          <w:color w:val="000000" w:themeColor="text1"/>
          <w:sz w:val="28"/>
          <w:szCs w:val="28"/>
        </w:rPr>
        <w:t xml:space="preserve">, antes que nada, a reiterar los pronunciamientos constitucionales que han dejado claro que, </w:t>
      </w:r>
      <w:r w:rsidR="00424D96" w:rsidRPr="00AE3367">
        <w:rPr>
          <w:rFonts w:cs="Times New Roman"/>
          <w:noProof/>
          <w:color w:val="000000" w:themeColor="text1"/>
          <w:sz w:val="28"/>
          <w:szCs w:val="28"/>
        </w:rPr>
        <w:t xml:space="preserve">por </w:t>
      </w:r>
      <w:r w:rsidR="00257C61" w:rsidRPr="00AE3367">
        <w:rPr>
          <w:rFonts w:cs="Times New Roman"/>
          <w:noProof/>
          <w:color w:val="000000" w:themeColor="text1"/>
          <w:sz w:val="28"/>
          <w:szCs w:val="28"/>
        </w:rPr>
        <w:t>el momento, la función fijada en dicha cláusula constitucional no tiene vigencia</w:t>
      </w:r>
      <w:r w:rsidR="00C34B24" w:rsidRPr="00AE3367">
        <w:rPr>
          <w:rFonts w:cs="Times New Roman"/>
          <w:noProof/>
          <w:color w:val="000000" w:themeColor="text1"/>
          <w:sz w:val="28"/>
          <w:szCs w:val="28"/>
        </w:rPr>
        <w:t>,</w:t>
      </w:r>
      <w:r w:rsidR="00257C61" w:rsidRPr="00AE3367">
        <w:rPr>
          <w:rFonts w:cs="Times New Roman"/>
          <w:noProof/>
          <w:color w:val="000000" w:themeColor="text1"/>
          <w:sz w:val="28"/>
          <w:szCs w:val="28"/>
        </w:rPr>
        <w:t xml:space="preserve"> hasta tanto no se cumplan las condiciones que se han establecido para tal fin.</w:t>
      </w:r>
      <w:r w:rsidR="00424D96" w:rsidRPr="00AE3367">
        <w:rPr>
          <w:rFonts w:cs="Times New Roman"/>
          <w:noProof/>
          <w:color w:val="000000" w:themeColor="text1"/>
          <w:sz w:val="28"/>
          <w:szCs w:val="28"/>
        </w:rPr>
        <w:t xml:space="preserve"> De esto se ocupará este primer acápite considerativo.</w:t>
      </w:r>
      <w:r w:rsidR="00257C61" w:rsidRPr="00AE3367">
        <w:rPr>
          <w:rFonts w:cs="Times New Roman"/>
          <w:noProof/>
          <w:color w:val="000000" w:themeColor="text1"/>
          <w:sz w:val="28"/>
          <w:szCs w:val="28"/>
        </w:rPr>
        <w:t xml:space="preserve"> </w:t>
      </w:r>
    </w:p>
    <w:p w14:paraId="217AB5FB" w14:textId="77777777" w:rsidR="00442F57" w:rsidRPr="00AE3367" w:rsidRDefault="00442F57" w:rsidP="00AE3367">
      <w:pPr>
        <w:jc w:val="both"/>
        <w:rPr>
          <w:rFonts w:cs="Times New Roman"/>
          <w:noProof/>
          <w:color w:val="000000" w:themeColor="text1"/>
          <w:sz w:val="28"/>
          <w:szCs w:val="28"/>
        </w:rPr>
      </w:pPr>
    </w:p>
    <w:p w14:paraId="7BA41314" w14:textId="77777777" w:rsidR="005353D7" w:rsidRPr="00AE3367" w:rsidRDefault="00424D96" w:rsidP="00AE3367">
      <w:pPr>
        <w:jc w:val="both"/>
        <w:rPr>
          <w:rFonts w:cs="Times New Roman"/>
          <w:noProof/>
          <w:color w:val="000000" w:themeColor="text1"/>
          <w:sz w:val="28"/>
          <w:szCs w:val="28"/>
        </w:rPr>
      </w:pPr>
      <w:r w:rsidRPr="00AE3367">
        <w:rPr>
          <w:rFonts w:cs="Times New Roman"/>
          <w:noProof/>
          <w:color w:val="000000" w:themeColor="text1"/>
          <w:sz w:val="28"/>
          <w:szCs w:val="28"/>
        </w:rPr>
        <w:t>1.</w:t>
      </w:r>
      <w:r w:rsidR="00257C61" w:rsidRPr="00AE3367">
        <w:rPr>
          <w:rFonts w:cs="Times New Roman"/>
          <w:noProof/>
          <w:color w:val="000000" w:themeColor="text1"/>
          <w:sz w:val="28"/>
          <w:szCs w:val="28"/>
        </w:rPr>
        <w:t xml:space="preserve">2. </w:t>
      </w:r>
      <w:r w:rsidR="00CF0F71" w:rsidRPr="00AE3367">
        <w:rPr>
          <w:rFonts w:cs="Times New Roman"/>
          <w:noProof/>
          <w:color w:val="000000" w:themeColor="text1"/>
          <w:sz w:val="28"/>
          <w:szCs w:val="28"/>
        </w:rPr>
        <w:t xml:space="preserve">Inicialmente, </w:t>
      </w:r>
      <w:r w:rsidR="002B790E" w:rsidRPr="00AE3367">
        <w:rPr>
          <w:rFonts w:cs="Times New Roman"/>
          <w:noProof/>
          <w:color w:val="000000" w:themeColor="text1"/>
          <w:sz w:val="28"/>
          <w:szCs w:val="28"/>
        </w:rPr>
        <w:t>la Constitución Política, en el artículo 256, atribuyó al Consejo Superior de l</w:t>
      </w:r>
      <w:r w:rsidR="00E110A8" w:rsidRPr="00AE3367">
        <w:rPr>
          <w:rFonts w:cs="Times New Roman"/>
          <w:noProof/>
          <w:color w:val="000000" w:themeColor="text1"/>
          <w:sz w:val="28"/>
          <w:szCs w:val="28"/>
        </w:rPr>
        <w:t>a Judicatura</w:t>
      </w:r>
      <w:r w:rsidR="00FA7B27" w:rsidRPr="00AE3367">
        <w:rPr>
          <w:rFonts w:cs="Times New Roman"/>
          <w:noProof/>
          <w:color w:val="000000" w:themeColor="text1"/>
          <w:sz w:val="28"/>
          <w:szCs w:val="28"/>
        </w:rPr>
        <w:t xml:space="preserve"> </w:t>
      </w:r>
      <w:r w:rsidR="00E110A8" w:rsidRPr="00AE3367">
        <w:rPr>
          <w:rFonts w:cs="Times New Roman"/>
          <w:noProof/>
          <w:color w:val="000000" w:themeColor="text1"/>
          <w:sz w:val="28"/>
          <w:szCs w:val="28"/>
        </w:rPr>
        <w:t>la función de “[d]</w:t>
      </w:r>
      <w:r w:rsidR="00E110A8" w:rsidRPr="00AE3367">
        <w:rPr>
          <w:rFonts w:cs="Times New Roman"/>
          <w:i/>
          <w:noProof/>
          <w:color w:val="000000" w:themeColor="text1"/>
          <w:sz w:val="28"/>
          <w:szCs w:val="28"/>
        </w:rPr>
        <w:t>irimir los conflictos de competencia que ocurran entre las distintas jurisdicciones</w:t>
      </w:r>
      <w:r w:rsidR="00E110A8" w:rsidRPr="00AE3367">
        <w:rPr>
          <w:rFonts w:cs="Times New Roman"/>
          <w:noProof/>
          <w:color w:val="000000" w:themeColor="text1"/>
          <w:sz w:val="28"/>
          <w:szCs w:val="28"/>
        </w:rPr>
        <w:t>”. En desarrollo de est</w:t>
      </w:r>
      <w:r w:rsidRPr="00AE3367">
        <w:rPr>
          <w:rFonts w:cs="Times New Roman"/>
          <w:noProof/>
          <w:color w:val="000000" w:themeColor="text1"/>
          <w:sz w:val="28"/>
          <w:szCs w:val="28"/>
        </w:rPr>
        <w:t>e mandato</w:t>
      </w:r>
      <w:r w:rsidR="00E110A8" w:rsidRPr="00AE3367">
        <w:rPr>
          <w:rFonts w:cs="Times New Roman"/>
          <w:noProof/>
          <w:color w:val="000000" w:themeColor="text1"/>
          <w:sz w:val="28"/>
          <w:szCs w:val="28"/>
        </w:rPr>
        <w:t>, la Ley 270 de 1996</w:t>
      </w:r>
      <w:r w:rsidR="00AA0727" w:rsidRPr="00AE3367">
        <w:rPr>
          <w:rStyle w:val="Refdenotaalpie"/>
          <w:noProof/>
          <w:color w:val="000000" w:themeColor="text1"/>
          <w:sz w:val="28"/>
          <w:szCs w:val="28"/>
        </w:rPr>
        <w:footnoteReference w:id="10"/>
      </w:r>
      <w:r w:rsidR="00E110A8" w:rsidRPr="00AE3367">
        <w:rPr>
          <w:rFonts w:cs="Times New Roman"/>
          <w:noProof/>
          <w:color w:val="000000" w:themeColor="text1"/>
          <w:sz w:val="28"/>
          <w:szCs w:val="28"/>
        </w:rPr>
        <w:t>, en el artículo 112, determinó que corresponde</w:t>
      </w:r>
      <w:r w:rsidR="00FA7B27" w:rsidRPr="00AE3367">
        <w:rPr>
          <w:rFonts w:cs="Times New Roman"/>
          <w:noProof/>
          <w:color w:val="000000" w:themeColor="text1"/>
          <w:sz w:val="28"/>
          <w:szCs w:val="28"/>
        </w:rPr>
        <w:t xml:space="preserve"> específicamente </w:t>
      </w:r>
      <w:r w:rsidR="00E110A8" w:rsidRPr="00AE3367">
        <w:rPr>
          <w:rFonts w:cs="Times New Roman"/>
          <w:noProof/>
          <w:color w:val="000000" w:themeColor="text1"/>
          <w:sz w:val="28"/>
          <w:szCs w:val="28"/>
        </w:rPr>
        <w:t>a la Sala Jurisdiccional Disciplinaria “[d]</w:t>
      </w:r>
      <w:r w:rsidR="00E110A8" w:rsidRPr="00AE3367">
        <w:rPr>
          <w:rFonts w:cs="Times New Roman"/>
          <w:i/>
          <w:noProof/>
          <w:color w:val="000000" w:themeColor="text1"/>
          <w:sz w:val="28"/>
          <w:szCs w:val="28"/>
        </w:rPr>
        <w:t>irimir los conflictos de competencia que ocurran entre las distintas jurisdicciones, y entre éstas y las autoridades administrativas a las cuales la ley les haya atribuido funciones jurisdiccionales, salvo los que se prevén en el artículo 114, numeral tercero, de esta Ley y entre los Consejos Seccionales o entre dos salas de un mismo Consejo Seccional</w:t>
      </w:r>
      <w:r w:rsidR="00E110A8" w:rsidRPr="00AE3367">
        <w:rPr>
          <w:rFonts w:cs="Times New Roman"/>
          <w:noProof/>
          <w:color w:val="000000" w:themeColor="text1"/>
          <w:sz w:val="28"/>
          <w:szCs w:val="28"/>
        </w:rPr>
        <w:t xml:space="preserve">” (subraya fuera del texto original).  </w:t>
      </w:r>
      <w:r w:rsidR="002B790E" w:rsidRPr="00AE3367">
        <w:rPr>
          <w:rFonts w:cs="Times New Roman"/>
          <w:noProof/>
          <w:color w:val="000000" w:themeColor="text1"/>
          <w:sz w:val="28"/>
          <w:szCs w:val="28"/>
        </w:rPr>
        <w:t xml:space="preserve"> </w:t>
      </w:r>
    </w:p>
    <w:p w14:paraId="607CEF9C" w14:textId="77777777" w:rsidR="005353D7" w:rsidRPr="00AE3367" w:rsidRDefault="005353D7" w:rsidP="00AE3367">
      <w:pPr>
        <w:jc w:val="both"/>
        <w:rPr>
          <w:rFonts w:cs="Times New Roman"/>
          <w:noProof/>
          <w:color w:val="000000" w:themeColor="text1"/>
          <w:sz w:val="28"/>
          <w:szCs w:val="28"/>
        </w:rPr>
      </w:pPr>
    </w:p>
    <w:p w14:paraId="34010B90" w14:textId="77777777" w:rsidR="00E110A8" w:rsidRPr="00AE3367" w:rsidRDefault="00424D96" w:rsidP="00AE3367">
      <w:pPr>
        <w:jc w:val="both"/>
        <w:rPr>
          <w:rFonts w:cs="Times New Roman"/>
          <w:noProof/>
          <w:color w:val="000000" w:themeColor="text1"/>
          <w:sz w:val="28"/>
          <w:szCs w:val="28"/>
        </w:rPr>
      </w:pPr>
      <w:r w:rsidRPr="00AE3367">
        <w:rPr>
          <w:rFonts w:cs="Times New Roman"/>
          <w:noProof/>
          <w:color w:val="000000" w:themeColor="text1"/>
          <w:sz w:val="28"/>
          <w:szCs w:val="28"/>
        </w:rPr>
        <w:t>1.3</w:t>
      </w:r>
      <w:r w:rsidR="00E110A8" w:rsidRPr="00AE3367">
        <w:rPr>
          <w:rFonts w:cs="Times New Roman"/>
          <w:noProof/>
          <w:color w:val="000000" w:themeColor="text1"/>
          <w:sz w:val="28"/>
          <w:szCs w:val="28"/>
        </w:rPr>
        <w:t xml:space="preserve">. </w:t>
      </w:r>
      <w:r w:rsidR="00655CDE" w:rsidRPr="00AE3367">
        <w:rPr>
          <w:rFonts w:cs="Times New Roman"/>
          <w:noProof/>
          <w:color w:val="000000" w:themeColor="text1"/>
          <w:sz w:val="28"/>
          <w:szCs w:val="28"/>
        </w:rPr>
        <w:t>A través del Acto Legislativo 02 de 2015</w:t>
      </w:r>
      <w:r w:rsidR="00655CDE" w:rsidRPr="00AE3367">
        <w:rPr>
          <w:rStyle w:val="Refdenotaalpie"/>
          <w:noProof/>
          <w:color w:val="000000" w:themeColor="text1"/>
          <w:sz w:val="28"/>
          <w:szCs w:val="28"/>
        </w:rPr>
        <w:footnoteReference w:id="11"/>
      </w:r>
      <w:r w:rsidR="002008ED" w:rsidRPr="00AE3367">
        <w:rPr>
          <w:rFonts w:cs="Times New Roman"/>
          <w:noProof/>
          <w:color w:val="000000" w:themeColor="text1"/>
          <w:sz w:val="28"/>
          <w:szCs w:val="28"/>
        </w:rPr>
        <w:t xml:space="preserve"> se </w:t>
      </w:r>
      <w:r w:rsidR="00C45CAE" w:rsidRPr="00AE3367">
        <w:rPr>
          <w:rFonts w:cs="Times New Roman"/>
          <w:noProof/>
          <w:color w:val="000000" w:themeColor="text1"/>
          <w:sz w:val="28"/>
          <w:szCs w:val="28"/>
        </w:rPr>
        <w:t xml:space="preserve">modificaron distintas </w:t>
      </w:r>
      <w:r w:rsidR="002008ED" w:rsidRPr="00AE3367">
        <w:rPr>
          <w:rFonts w:cs="Times New Roman"/>
          <w:noProof/>
          <w:color w:val="000000" w:themeColor="text1"/>
          <w:sz w:val="28"/>
          <w:szCs w:val="28"/>
        </w:rPr>
        <w:t>normas de la Carta Política</w:t>
      </w:r>
      <w:r w:rsidR="00C45CAE" w:rsidRPr="00AE3367">
        <w:rPr>
          <w:rFonts w:cs="Times New Roman"/>
          <w:noProof/>
          <w:color w:val="000000" w:themeColor="text1"/>
          <w:sz w:val="28"/>
          <w:szCs w:val="28"/>
        </w:rPr>
        <w:t>, principalmente contenidas en el Capítulo 7 del Título VIII.</w:t>
      </w:r>
      <w:r w:rsidR="005E41A9" w:rsidRPr="00AE3367">
        <w:rPr>
          <w:rFonts w:cs="Times New Roman"/>
          <w:noProof/>
          <w:color w:val="000000" w:themeColor="text1"/>
          <w:sz w:val="28"/>
          <w:szCs w:val="28"/>
        </w:rPr>
        <w:t xml:space="preserve"> </w:t>
      </w:r>
      <w:r w:rsidR="00F8560A" w:rsidRPr="00AE3367">
        <w:rPr>
          <w:rFonts w:cs="Times New Roman"/>
          <w:noProof/>
          <w:color w:val="000000" w:themeColor="text1"/>
          <w:sz w:val="28"/>
          <w:szCs w:val="28"/>
        </w:rPr>
        <w:t xml:space="preserve">Puntualmente, </w:t>
      </w:r>
      <w:r w:rsidR="005E41A9" w:rsidRPr="00AE3367">
        <w:rPr>
          <w:rFonts w:cs="Times New Roman"/>
          <w:noProof/>
          <w:color w:val="000000" w:themeColor="text1"/>
          <w:sz w:val="28"/>
          <w:szCs w:val="28"/>
        </w:rPr>
        <w:t xml:space="preserve">la reforma introducida al artículo 257 de la Constitución incluyó la creación de la Comisión Nacional de Disciplina Judicial y las Comisiones Seccionales de Disciplina </w:t>
      </w:r>
      <w:r w:rsidR="00F8560A" w:rsidRPr="00AE3367">
        <w:rPr>
          <w:rFonts w:cs="Times New Roman"/>
          <w:noProof/>
          <w:color w:val="000000" w:themeColor="text1"/>
          <w:sz w:val="28"/>
          <w:szCs w:val="28"/>
        </w:rPr>
        <w:t>J</w:t>
      </w:r>
      <w:r w:rsidR="005E41A9" w:rsidRPr="00AE3367">
        <w:rPr>
          <w:rFonts w:cs="Times New Roman"/>
          <w:noProof/>
          <w:color w:val="000000" w:themeColor="text1"/>
          <w:sz w:val="28"/>
          <w:szCs w:val="28"/>
        </w:rPr>
        <w:t>udicial, a las cuales se trasladaron algunas de las funciones jurisdiccionales de la Sala Disciplinaria del Consejo Superior de la Judicatura. Adicionalmente, se modificó e</w:t>
      </w:r>
      <w:r w:rsidR="002008ED" w:rsidRPr="00AE3367">
        <w:rPr>
          <w:rFonts w:cs="Times New Roman"/>
          <w:noProof/>
          <w:color w:val="000000" w:themeColor="text1"/>
          <w:sz w:val="28"/>
          <w:szCs w:val="28"/>
        </w:rPr>
        <w:t xml:space="preserve">l artículo 241 </w:t>
      </w:r>
      <w:r w:rsidR="00F8560A" w:rsidRPr="00AE3367">
        <w:rPr>
          <w:rFonts w:cs="Times New Roman"/>
          <w:noProof/>
          <w:color w:val="000000" w:themeColor="text1"/>
          <w:sz w:val="28"/>
          <w:szCs w:val="28"/>
        </w:rPr>
        <w:t>CP</w:t>
      </w:r>
      <w:r w:rsidR="00FA7B27" w:rsidRPr="00AE3367">
        <w:rPr>
          <w:rFonts w:cs="Times New Roman"/>
          <w:noProof/>
          <w:color w:val="000000" w:themeColor="text1"/>
          <w:sz w:val="28"/>
          <w:szCs w:val="28"/>
        </w:rPr>
        <w:t xml:space="preserve">, de forma que, </w:t>
      </w:r>
      <w:r w:rsidR="002008ED" w:rsidRPr="00AE3367">
        <w:rPr>
          <w:rFonts w:cs="Times New Roman"/>
          <w:noProof/>
          <w:color w:val="000000" w:themeColor="text1"/>
          <w:sz w:val="28"/>
          <w:szCs w:val="28"/>
        </w:rPr>
        <w:t>en el numeral 11</w:t>
      </w:r>
      <w:r w:rsidR="00FA7B27" w:rsidRPr="00AE3367">
        <w:rPr>
          <w:rFonts w:cs="Times New Roman"/>
          <w:noProof/>
          <w:color w:val="000000" w:themeColor="text1"/>
          <w:sz w:val="28"/>
          <w:szCs w:val="28"/>
        </w:rPr>
        <w:t xml:space="preserve"> del </w:t>
      </w:r>
      <w:r w:rsidR="00F8560A" w:rsidRPr="00AE3367">
        <w:rPr>
          <w:rFonts w:cs="Times New Roman"/>
          <w:noProof/>
          <w:color w:val="000000" w:themeColor="text1"/>
          <w:sz w:val="28"/>
          <w:szCs w:val="28"/>
        </w:rPr>
        <w:t>mencionado</w:t>
      </w:r>
      <w:r w:rsidR="00FA7B27" w:rsidRPr="00AE3367">
        <w:rPr>
          <w:rFonts w:cs="Times New Roman"/>
          <w:noProof/>
          <w:color w:val="000000" w:themeColor="text1"/>
          <w:sz w:val="28"/>
          <w:szCs w:val="28"/>
        </w:rPr>
        <w:t xml:space="preserve"> artículo</w:t>
      </w:r>
      <w:r w:rsidR="002008ED" w:rsidRPr="00AE3367">
        <w:rPr>
          <w:rFonts w:cs="Times New Roman"/>
          <w:noProof/>
          <w:color w:val="000000" w:themeColor="text1"/>
          <w:sz w:val="28"/>
          <w:szCs w:val="28"/>
        </w:rPr>
        <w:t xml:space="preserve">, </w:t>
      </w:r>
      <w:r w:rsidR="005E41A9" w:rsidRPr="00AE3367">
        <w:rPr>
          <w:rFonts w:cs="Times New Roman"/>
          <w:noProof/>
          <w:color w:val="000000" w:themeColor="text1"/>
          <w:sz w:val="28"/>
          <w:szCs w:val="28"/>
        </w:rPr>
        <w:t xml:space="preserve">se </w:t>
      </w:r>
      <w:r w:rsidR="002008ED" w:rsidRPr="00AE3367">
        <w:rPr>
          <w:rFonts w:cs="Times New Roman"/>
          <w:noProof/>
          <w:color w:val="000000" w:themeColor="text1"/>
          <w:sz w:val="28"/>
          <w:szCs w:val="28"/>
        </w:rPr>
        <w:t>trasladó a la Corte Constitucional la función de “[d]</w:t>
      </w:r>
      <w:r w:rsidR="002008ED" w:rsidRPr="00AE3367">
        <w:rPr>
          <w:rFonts w:cs="Times New Roman"/>
          <w:i/>
          <w:noProof/>
          <w:color w:val="000000" w:themeColor="text1"/>
          <w:sz w:val="28"/>
          <w:szCs w:val="28"/>
        </w:rPr>
        <w:t>irimir los conflictos de competencia que ocurran entre las distintas jurisdicciones</w:t>
      </w:r>
      <w:r w:rsidR="002008ED" w:rsidRPr="00AE3367">
        <w:rPr>
          <w:rFonts w:cs="Times New Roman"/>
          <w:noProof/>
          <w:color w:val="000000" w:themeColor="text1"/>
          <w:sz w:val="28"/>
          <w:szCs w:val="28"/>
        </w:rPr>
        <w:t>”</w:t>
      </w:r>
      <w:r w:rsidR="005E41A9" w:rsidRPr="00AE3367">
        <w:rPr>
          <w:rFonts w:cs="Times New Roman"/>
          <w:noProof/>
          <w:color w:val="000000" w:themeColor="text1"/>
          <w:sz w:val="28"/>
          <w:szCs w:val="28"/>
        </w:rPr>
        <w:t>.</w:t>
      </w:r>
    </w:p>
    <w:p w14:paraId="27256FA0" w14:textId="77777777" w:rsidR="005353D7" w:rsidRPr="00AE3367" w:rsidRDefault="005353D7" w:rsidP="00AE3367">
      <w:pPr>
        <w:jc w:val="both"/>
        <w:rPr>
          <w:rFonts w:cs="Times New Roman"/>
          <w:noProof/>
          <w:color w:val="000000" w:themeColor="text1"/>
          <w:sz w:val="28"/>
          <w:szCs w:val="28"/>
        </w:rPr>
      </w:pPr>
    </w:p>
    <w:p w14:paraId="62381E92" w14:textId="77777777" w:rsidR="003C71DA" w:rsidRPr="00AE3367" w:rsidRDefault="00424D96" w:rsidP="00AE3367">
      <w:pPr>
        <w:jc w:val="both"/>
        <w:rPr>
          <w:rFonts w:cs="Times New Roman"/>
          <w:noProof/>
          <w:color w:val="000000" w:themeColor="text1"/>
          <w:sz w:val="28"/>
          <w:szCs w:val="28"/>
        </w:rPr>
      </w:pPr>
      <w:r w:rsidRPr="00AE3367">
        <w:rPr>
          <w:rFonts w:cs="Times New Roman"/>
          <w:noProof/>
          <w:color w:val="000000" w:themeColor="text1"/>
          <w:sz w:val="28"/>
          <w:szCs w:val="28"/>
        </w:rPr>
        <w:t>1.4</w:t>
      </w:r>
      <w:r w:rsidR="003C71DA" w:rsidRPr="00AE3367">
        <w:rPr>
          <w:rFonts w:cs="Times New Roman"/>
          <w:noProof/>
          <w:color w:val="000000" w:themeColor="text1"/>
          <w:sz w:val="28"/>
          <w:szCs w:val="28"/>
        </w:rPr>
        <w:t xml:space="preserve">. </w:t>
      </w:r>
      <w:r w:rsidR="00FA7B27" w:rsidRPr="00AE3367">
        <w:rPr>
          <w:rFonts w:cs="Times New Roman"/>
          <w:noProof/>
          <w:color w:val="000000" w:themeColor="text1"/>
          <w:sz w:val="28"/>
          <w:szCs w:val="28"/>
        </w:rPr>
        <w:t>Ahora bien, por las implicaciones prácticas que acarrearía el Acto Legislativo 02 de 2015, la</w:t>
      </w:r>
      <w:r w:rsidR="004D0C14" w:rsidRPr="00AE3367">
        <w:rPr>
          <w:rFonts w:cs="Times New Roman"/>
          <w:noProof/>
          <w:color w:val="000000" w:themeColor="text1"/>
          <w:sz w:val="28"/>
          <w:szCs w:val="28"/>
        </w:rPr>
        <w:t xml:space="preserve"> enmienda </w:t>
      </w:r>
      <w:r w:rsidR="00FA7B27" w:rsidRPr="00AE3367">
        <w:rPr>
          <w:rFonts w:cs="Times New Roman"/>
          <w:noProof/>
          <w:color w:val="000000" w:themeColor="text1"/>
          <w:sz w:val="28"/>
          <w:szCs w:val="28"/>
        </w:rPr>
        <w:t xml:space="preserve">constitucional incluyó fórmulas de transición para su implementación. </w:t>
      </w:r>
      <w:r w:rsidR="004D0C14" w:rsidRPr="00AE3367">
        <w:rPr>
          <w:rFonts w:cs="Times New Roman"/>
          <w:noProof/>
          <w:color w:val="000000" w:themeColor="text1"/>
          <w:sz w:val="28"/>
          <w:szCs w:val="28"/>
        </w:rPr>
        <w:t>Entre ellas, e</w:t>
      </w:r>
      <w:r w:rsidR="00FA7B27" w:rsidRPr="00AE3367">
        <w:rPr>
          <w:rFonts w:cs="Times New Roman"/>
          <w:noProof/>
          <w:color w:val="000000" w:themeColor="text1"/>
          <w:sz w:val="28"/>
          <w:szCs w:val="28"/>
        </w:rPr>
        <w:t>n el parágrafo transitorio 1º del artículo 19 de dicho cuerpo normativo, se dispuso que “</w:t>
      </w:r>
      <w:r w:rsidR="004D0C14" w:rsidRPr="00AE3367">
        <w:rPr>
          <w:rFonts w:cs="Times New Roman"/>
          <w:noProof/>
          <w:color w:val="000000" w:themeColor="text1"/>
          <w:sz w:val="28"/>
          <w:szCs w:val="28"/>
        </w:rPr>
        <w:t>[l]</w:t>
      </w:r>
      <w:r w:rsidR="00C45CAE" w:rsidRPr="00AE3367">
        <w:rPr>
          <w:rFonts w:cs="Times New Roman"/>
          <w:i/>
          <w:noProof/>
          <w:color w:val="000000" w:themeColor="text1"/>
          <w:sz w:val="28"/>
          <w:szCs w:val="28"/>
        </w:rPr>
        <w:t xml:space="preserve">os Magistrados de la Comisión Nacional de Disciplina Judicial deberán ser elegidos dentro del año siguiente a la vigencia del presente acto legislativo. Una vez posesionados, la Comisión Nacional de Disciplina Judicial asumirá los procesos disciplinarios de la Sala Jurisdiccional Disciplinaria del Consejo Superior de la Judicatura. </w:t>
      </w:r>
      <w:r w:rsidR="00C45CAE" w:rsidRPr="00AE3367">
        <w:rPr>
          <w:rFonts w:cs="Times New Roman"/>
          <w:i/>
          <w:noProof/>
          <w:color w:val="000000" w:themeColor="text1"/>
          <w:sz w:val="28"/>
          <w:szCs w:val="28"/>
          <w:u w:val="single"/>
        </w:rPr>
        <w:t>Los actuales Magistrados de la Sala Jurisdiccional Disciplinaria del Consejo Superior de la Judicatura, ejercerán sus funciones hasta el día que se posesionen los miembros de la Comisión Nacional de Disciplina Judicial</w:t>
      </w:r>
      <w:r w:rsidR="00FA7B27" w:rsidRPr="00AE3367">
        <w:rPr>
          <w:rFonts w:cs="Times New Roman"/>
          <w:noProof/>
          <w:color w:val="000000" w:themeColor="text1"/>
          <w:sz w:val="28"/>
          <w:szCs w:val="28"/>
        </w:rPr>
        <w:t>”</w:t>
      </w:r>
      <w:r w:rsidR="004D0C14" w:rsidRPr="00AE3367">
        <w:rPr>
          <w:rFonts w:cs="Times New Roman"/>
          <w:noProof/>
          <w:color w:val="000000" w:themeColor="text1"/>
          <w:sz w:val="28"/>
          <w:szCs w:val="28"/>
        </w:rPr>
        <w:t xml:space="preserve"> (subraya fuera del texto original).</w:t>
      </w:r>
    </w:p>
    <w:p w14:paraId="1DF9B1E4" w14:textId="77777777" w:rsidR="003C71DA" w:rsidRPr="00AE3367" w:rsidRDefault="003C71DA" w:rsidP="00AE3367">
      <w:pPr>
        <w:jc w:val="both"/>
        <w:rPr>
          <w:rFonts w:cs="Times New Roman"/>
          <w:noProof/>
          <w:color w:val="000000" w:themeColor="text1"/>
          <w:sz w:val="28"/>
          <w:szCs w:val="28"/>
        </w:rPr>
      </w:pPr>
    </w:p>
    <w:p w14:paraId="0F2A2C0E" w14:textId="77777777" w:rsidR="004D0C14" w:rsidRPr="00AE3367" w:rsidRDefault="00424D96" w:rsidP="00AE3367">
      <w:pPr>
        <w:jc w:val="both"/>
        <w:rPr>
          <w:rFonts w:cs="Times New Roman"/>
          <w:noProof/>
          <w:color w:val="000000" w:themeColor="text1"/>
          <w:sz w:val="28"/>
          <w:szCs w:val="28"/>
        </w:rPr>
      </w:pPr>
      <w:r w:rsidRPr="00AE3367">
        <w:rPr>
          <w:rFonts w:cs="Times New Roman"/>
          <w:noProof/>
          <w:color w:val="000000" w:themeColor="text1"/>
          <w:sz w:val="28"/>
          <w:szCs w:val="28"/>
        </w:rPr>
        <w:t>1.5</w:t>
      </w:r>
      <w:r w:rsidR="004D0C14" w:rsidRPr="00AE3367">
        <w:rPr>
          <w:rFonts w:cs="Times New Roman"/>
          <w:noProof/>
          <w:color w:val="000000" w:themeColor="text1"/>
          <w:sz w:val="28"/>
          <w:szCs w:val="28"/>
        </w:rPr>
        <w:t>. Con base en lo anterior, la Sala Plena de la Corte Constitucional, en el Auto 278 de 2015</w:t>
      </w:r>
      <w:r w:rsidR="004D0C14" w:rsidRPr="00AE3367">
        <w:rPr>
          <w:rStyle w:val="Refdenotaalpie"/>
          <w:noProof/>
          <w:color w:val="000000" w:themeColor="text1"/>
          <w:sz w:val="28"/>
          <w:szCs w:val="28"/>
        </w:rPr>
        <w:footnoteReference w:id="12"/>
      </w:r>
      <w:r w:rsidR="00F8560A" w:rsidRPr="00AE3367">
        <w:rPr>
          <w:rFonts w:cs="Times New Roman"/>
          <w:noProof/>
          <w:color w:val="000000" w:themeColor="text1"/>
          <w:sz w:val="28"/>
          <w:szCs w:val="28"/>
        </w:rPr>
        <w:t>,</w:t>
      </w:r>
      <w:r w:rsidR="004D0C14" w:rsidRPr="00AE3367">
        <w:rPr>
          <w:rFonts w:cs="Times New Roman"/>
          <w:noProof/>
          <w:color w:val="000000" w:themeColor="text1"/>
          <w:sz w:val="28"/>
          <w:szCs w:val="28"/>
        </w:rPr>
        <w:t xml:space="preserve"> aclaró que: </w:t>
      </w:r>
    </w:p>
    <w:p w14:paraId="5FE8DFB7" w14:textId="77777777" w:rsidR="004D0C14" w:rsidRPr="00AE3367" w:rsidRDefault="004D0C14" w:rsidP="00AE3367">
      <w:pPr>
        <w:jc w:val="both"/>
        <w:rPr>
          <w:rFonts w:cs="Times New Roman"/>
          <w:noProof/>
          <w:color w:val="000000" w:themeColor="text1"/>
          <w:sz w:val="28"/>
          <w:szCs w:val="28"/>
        </w:rPr>
      </w:pPr>
    </w:p>
    <w:p w14:paraId="03DB4607" w14:textId="77777777" w:rsidR="004D0C14" w:rsidRPr="00AE3367" w:rsidRDefault="004D0C14" w:rsidP="00AE3367">
      <w:pPr>
        <w:ind w:left="567"/>
        <w:jc w:val="both"/>
        <w:rPr>
          <w:rFonts w:cs="Times New Roman"/>
          <w:noProof/>
          <w:color w:val="000000" w:themeColor="text1"/>
          <w:sz w:val="28"/>
          <w:szCs w:val="28"/>
        </w:rPr>
      </w:pPr>
      <w:r w:rsidRPr="00AE3367">
        <w:rPr>
          <w:rFonts w:cs="Times New Roman"/>
          <w:noProof/>
          <w:color w:val="000000" w:themeColor="text1"/>
          <w:sz w:val="28"/>
          <w:szCs w:val="28"/>
        </w:rPr>
        <w:t>“</w:t>
      </w:r>
      <w:r w:rsidRPr="00AE3367">
        <w:rPr>
          <w:rFonts w:cs="Times New Roman"/>
          <w:i/>
          <w:noProof/>
          <w:color w:val="000000" w:themeColor="text1"/>
          <w:sz w:val="28"/>
          <w:szCs w:val="28"/>
        </w:rPr>
        <w:t xml:space="preserve">por virtud de lo previsto en el artículo 14 del Acto Legislativo 02 de 2015, </w:t>
      </w:r>
      <w:r w:rsidRPr="00AE3367">
        <w:rPr>
          <w:rFonts w:cs="Times New Roman"/>
          <w:i/>
          <w:noProof/>
          <w:color w:val="000000" w:themeColor="text1"/>
          <w:sz w:val="28"/>
          <w:szCs w:val="28"/>
          <w:u w:val="single"/>
        </w:rPr>
        <w:t>la atribución para conocer de los conflictos de competencia que ocurran entre las distintas jurisdicciones quedó radicada en cabeza de la Corte Constitucional</w:t>
      </w:r>
      <w:r w:rsidRPr="00AE3367">
        <w:rPr>
          <w:rFonts w:cs="Times New Roman"/>
          <w:i/>
          <w:noProof/>
          <w:color w:val="000000" w:themeColor="text1"/>
          <w:sz w:val="28"/>
          <w:szCs w:val="28"/>
        </w:rPr>
        <w:t xml:space="preserve">. No obstante, en obedecimiento a lo dispuesto en el parágrafo transitorio 1º del artículo 19 del referido acto legislativo, en el que se adoptaron medidas de transición que dieron continuidad a la Sala Jurisdiccional Disciplinaria del Consejo Superior de la Judicatura, </w:t>
      </w:r>
      <w:r w:rsidRPr="00AE3367">
        <w:rPr>
          <w:rFonts w:cs="Times New Roman"/>
          <w:i/>
          <w:noProof/>
          <w:color w:val="000000" w:themeColor="text1"/>
          <w:sz w:val="28"/>
          <w:szCs w:val="28"/>
          <w:u w:val="single"/>
        </w:rPr>
        <w:t>dicha atribución sólo podrá ser ejercida por la Corte Constitucional, una vez la Sala Jurisdiccional Disciplinaria del Consejo Superior de la Judicatura haya cesado de manera definitiva en el ejercicio de sus funciones, momento en el cual los conflictos de competencia entre distintas jurisdicciones deberán ser remitidos a la Corte Constitucional en el estado en que se encuentren</w:t>
      </w:r>
      <w:r w:rsidRPr="00AE3367">
        <w:rPr>
          <w:rFonts w:cs="Times New Roman"/>
          <w:i/>
          <w:noProof/>
          <w:color w:val="000000" w:themeColor="text1"/>
          <w:sz w:val="28"/>
          <w:szCs w:val="28"/>
        </w:rPr>
        <w:t xml:space="preserve">. // (…) De ese modo, es de entender que, </w:t>
      </w:r>
      <w:r w:rsidRPr="00AE3367">
        <w:rPr>
          <w:rFonts w:cs="Times New Roman"/>
          <w:i/>
          <w:noProof/>
          <w:color w:val="000000" w:themeColor="text1"/>
          <w:sz w:val="28"/>
          <w:szCs w:val="28"/>
          <w:u w:val="single"/>
        </w:rPr>
        <w:t>para que la Corte Constitucional pueda ejercer la nueva función de “dirimir los conflictos de competencia que ocurran entre las distintas jurisdicciones”, asignada por el artículo 14 del Acto Legislativo 02 de 2015, lo cual solo tiene lugar una vez cesen los efectos de las normas transitorias, se requiere que, previamente, se hayan dispuesto las medidas correspondientes</w:t>
      </w:r>
      <w:r w:rsidRPr="00AE3367">
        <w:rPr>
          <w:rFonts w:cs="Times New Roman"/>
          <w:i/>
          <w:noProof/>
          <w:color w:val="000000" w:themeColor="text1"/>
          <w:sz w:val="28"/>
          <w:szCs w:val="28"/>
        </w:rPr>
        <w:t>, de orden legal y administrativo, que garanticen un ejercicio eficiente, oportuno y adecuado de dicha función</w:t>
      </w:r>
      <w:r w:rsidRPr="00AE3367">
        <w:rPr>
          <w:rFonts w:cs="Times New Roman"/>
          <w:noProof/>
          <w:color w:val="000000" w:themeColor="text1"/>
          <w:sz w:val="28"/>
          <w:szCs w:val="28"/>
        </w:rPr>
        <w:t>”.</w:t>
      </w:r>
    </w:p>
    <w:p w14:paraId="0E1A2628" w14:textId="77777777" w:rsidR="00AA0727" w:rsidRPr="00AE3367" w:rsidRDefault="00AA0727" w:rsidP="00AE3367">
      <w:pPr>
        <w:jc w:val="both"/>
        <w:rPr>
          <w:rFonts w:cs="Times New Roman"/>
          <w:noProof/>
          <w:color w:val="000000" w:themeColor="text1"/>
          <w:sz w:val="28"/>
          <w:szCs w:val="28"/>
        </w:rPr>
      </w:pPr>
    </w:p>
    <w:p w14:paraId="1C367512" w14:textId="54552D62" w:rsidR="004465D5" w:rsidRPr="00AE3367" w:rsidRDefault="00424D96" w:rsidP="00AE3367">
      <w:pPr>
        <w:jc w:val="both"/>
        <w:rPr>
          <w:rFonts w:cs="Times New Roman"/>
          <w:noProof/>
          <w:color w:val="000000" w:themeColor="text1"/>
          <w:sz w:val="28"/>
          <w:szCs w:val="28"/>
        </w:rPr>
      </w:pPr>
      <w:r w:rsidRPr="00AE3367">
        <w:rPr>
          <w:rFonts w:cs="Times New Roman"/>
          <w:noProof/>
          <w:color w:val="000000" w:themeColor="text1"/>
          <w:sz w:val="28"/>
          <w:szCs w:val="28"/>
        </w:rPr>
        <w:t>1.6</w:t>
      </w:r>
      <w:r w:rsidR="00AA0727" w:rsidRPr="00AE3367">
        <w:rPr>
          <w:rFonts w:cs="Times New Roman"/>
          <w:noProof/>
          <w:color w:val="000000" w:themeColor="text1"/>
          <w:sz w:val="28"/>
          <w:szCs w:val="28"/>
        </w:rPr>
        <w:t xml:space="preserve">.  </w:t>
      </w:r>
      <w:r w:rsidR="004465D5" w:rsidRPr="00AE3367">
        <w:rPr>
          <w:rFonts w:cs="Times New Roman"/>
          <w:noProof/>
          <w:color w:val="000000" w:themeColor="text1"/>
          <w:sz w:val="28"/>
          <w:szCs w:val="28"/>
        </w:rPr>
        <w:t xml:space="preserve">En ese sentido, </w:t>
      </w:r>
      <w:r w:rsidR="00AA0727" w:rsidRPr="00AE3367">
        <w:rPr>
          <w:rFonts w:cs="Times New Roman"/>
          <w:noProof/>
          <w:color w:val="000000" w:themeColor="text1"/>
          <w:sz w:val="28"/>
          <w:szCs w:val="28"/>
        </w:rPr>
        <w:t>teniendo en cuenta que</w:t>
      </w:r>
      <w:r w:rsidR="00E77BD9" w:rsidRPr="00AE3367">
        <w:rPr>
          <w:rFonts w:cs="Times New Roman"/>
          <w:noProof/>
          <w:color w:val="000000" w:themeColor="text1"/>
          <w:sz w:val="28"/>
          <w:szCs w:val="28"/>
        </w:rPr>
        <w:t xml:space="preserve"> </w:t>
      </w:r>
      <w:r w:rsidR="00BB2DAD" w:rsidRPr="00AE3367">
        <w:rPr>
          <w:rFonts w:cs="Times New Roman"/>
          <w:noProof/>
          <w:color w:val="000000" w:themeColor="text1"/>
          <w:sz w:val="28"/>
          <w:szCs w:val="28"/>
        </w:rPr>
        <w:t>la remisión</w:t>
      </w:r>
      <w:r w:rsidR="00E77BD9" w:rsidRPr="00AE3367">
        <w:rPr>
          <w:rFonts w:cs="Times New Roman"/>
          <w:noProof/>
          <w:color w:val="000000" w:themeColor="text1"/>
          <w:sz w:val="28"/>
          <w:szCs w:val="28"/>
        </w:rPr>
        <w:t xml:space="preserve"> del expediente a la Corte Constitucional se dio invocando el numeral 11 del artículo 241 de la Constitución, es necesario reiterar que actualmente </w:t>
      </w:r>
      <w:r w:rsidR="00BB2DAD" w:rsidRPr="00AE3367">
        <w:rPr>
          <w:rFonts w:cs="Times New Roman"/>
          <w:noProof/>
          <w:color w:val="000000" w:themeColor="text1"/>
          <w:sz w:val="28"/>
          <w:szCs w:val="28"/>
        </w:rPr>
        <w:t>la Corte</w:t>
      </w:r>
      <w:r w:rsidR="00E77BD9" w:rsidRPr="00AE3367">
        <w:rPr>
          <w:rFonts w:cs="Times New Roman"/>
          <w:noProof/>
          <w:color w:val="000000" w:themeColor="text1"/>
          <w:sz w:val="28"/>
          <w:szCs w:val="28"/>
        </w:rPr>
        <w:t xml:space="preserve"> no se encuentra jurídicamente autorizada para activar la competencia fijada en dicho precepto</w:t>
      </w:r>
      <w:r w:rsidR="00AA0727" w:rsidRPr="00AE3367">
        <w:rPr>
          <w:rFonts w:cs="Times New Roman"/>
          <w:noProof/>
          <w:color w:val="000000" w:themeColor="text1"/>
          <w:sz w:val="28"/>
          <w:szCs w:val="28"/>
        </w:rPr>
        <w:t>.</w:t>
      </w:r>
      <w:r w:rsidRPr="00AE3367">
        <w:rPr>
          <w:rFonts w:cs="Times New Roman"/>
          <w:noProof/>
          <w:color w:val="000000" w:themeColor="text1"/>
          <w:sz w:val="28"/>
          <w:szCs w:val="28"/>
        </w:rPr>
        <w:t xml:space="preserve"> </w:t>
      </w:r>
      <w:r w:rsidR="004465D5" w:rsidRPr="00AE3367">
        <w:rPr>
          <w:rFonts w:cs="Times New Roman"/>
          <w:noProof/>
          <w:color w:val="000000" w:themeColor="text1"/>
          <w:sz w:val="28"/>
          <w:szCs w:val="28"/>
        </w:rPr>
        <w:t>La única excepción</w:t>
      </w:r>
      <w:r w:rsidR="00B173DE" w:rsidRPr="00AE3367">
        <w:rPr>
          <w:rFonts w:cs="Times New Roman"/>
          <w:noProof/>
          <w:color w:val="000000" w:themeColor="text1"/>
          <w:sz w:val="28"/>
          <w:szCs w:val="28"/>
        </w:rPr>
        <w:t>,</w:t>
      </w:r>
      <w:r w:rsidR="004465D5" w:rsidRPr="00AE3367">
        <w:rPr>
          <w:rFonts w:cs="Times New Roman"/>
          <w:noProof/>
          <w:color w:val="000000" w:themeColor="text1"/>
          <w:sz w:val="28"/>
          <w:szCs w:val="28"/>
        </w:rPr>
        <w:t xml:space="preserve"> reconocida en el ordenamiento frente a </w:t>
      </w:r>
      <w:r w:rsidRPr="00AE3367">
        <w:rPr>
          <w:rFonts w:cs="Times New Roman"/>
          <w:noProof/>
          <w:color w:val="000000" w:themeColor="text1"/>
          <w:sz w:val="28"/>
          <w:szCs w:val="28"/>
        </w:rPr>
        <w:t>esta regla general</w:t>
      </w:r>
      <w:r w:rsidR="00E77BD9" w:rsidRPr="00AE3367">
        <w:rPr>
          <w:rFonts w:cs="Times New Roman"/>
          <w:noProof/>
          <w:color w:val="000000" w:themeColor="text1"/>
          <w:sz w:val="28"/>
          <w:szCs w:val="28"/>
        </w:rPr>
        <w:t xml:space="preserve"> de incompetencia temporal</w:t>
      </w:r>
      <w:r w:rsidR="004465D5" w:rsidRPr="00AE3367">
        <w:rPr>
          <w:rFonts w:cs="Times New Roman"/>
          <w:noProof/>
          <w:color w:val="000000" w:themeColor="text1"/>
          <w:sz w:val="28"/>
          <w:szCs w:val="28"/>
        </w:rPr>
        <w:t>, se refiere a los conflictos de jurisdicciones de los que haga parte la Jurisdicción Especial para la Paz</w:t>
      </w:r>
      <w:r w:rsidR="00305A8C" w:rsidRPr="00AE3367">
        <w:rPr>
          <w:rFonts w:cs="Times New Roman"/>
          <w:noProof/>
          <w:color w:val="000000" w:themeColor="text1"/>
          <w:sz w:val="28"/>
          <w:szCs w:val="28"/>
        </w:rPr>
        <w:t xml:space="preserve">, cuya resolución es </w:t>
      </w:r>
      <w:r w:rsidR="00E77BD9" w:rsidRPr="00AE3367">
        <w:rPr>
          <w:rFonts w:cs="Times New Roman"/>
          <w:noProof/>
          <w:color w:val="000000" w:themeColor="text1"/>
          <w:sz w:val="28"/>
          <w:szCs w:val="28"/>
        </w:rPr>
        <w:t>función</w:t>
      </w:r>
      <w:r w:rsidR="00305A8C" w:rsidRPr="00AE3367">
        <w:rPr>
          <w:rFonts w:cs="Times New Roman"/>
          <w:noProof/>
          <w:color w:val="000000" w:themeColor="text1"/>
          <w:sz w:val="28"/>
          <w:szCs w:val="28"/>
        </w:rPr>
        <w:t xml:space="preserve"> exclusiva de la Corte </w:t>
      </w:r>
      <w:r w:rsidR="00305A8C" w:rsidRPr="00AE3367">
        <w:rPr>
          <w:rFonts w:cs="Times New Roman"/>
          <w:color w:val="000000" w:themeColor="text1"/>
          <w:sz w:val="28"/>
          <w:szCs w:val="28"/>
        </w:rPr>
        <w:t>Constitucional</w:t>
      </w:r>
      <w:r w:rsidR="004465D5" w:rsidRPr="00AE3367">
        <w:rPr>
          <w:rFonts w:cs="Times New Roman"/>
          <w:noProof/>
          <w:color w:val="000000" w:themeColor="text1"/>
          <w:sz w:val="28"/>
          <w:szCs w:val="28"/>
        </w:rPr>
        <w:t xml:space="preserve">. </w:t>
      </w:r>
      <w:r w:rsidR="00B173DE" w:rsidRPr="00AE3367">
        <w:rPr>
          <w:rFonts w:cs="Times New Roman"/>
          <w:noProof/>
          <w:color w:val="000000" w:themeColor="text1"/>
          <w:sz w:val="28"/>
          <w:szCs w:val="28"/>
        </w:rPr>
        <w:t>Inicialmente, el Acto Legislativo 01 de 2017</w:t>
      </w:r>
      <w:r w:rsidR="00B173DE" w:rsidRPr="00AE3367">
        <w:rPr>
          <w:rStyle w:val="Refdenotaalpie"/>
          <w:noProof/>
          <w:color w:val="000000" w:themeColor="text1"/>
          <w:sz w:val="28"/>
          <w:szCs w:val="28"/>
        </w:rPr>
        <w:footnoteReference w:id="13"/>
      </w:r>
      <w:r w:rsidR="00637709" w:rsidRPr="00AE3367">
        <w:rPr>
          <w:rFonts w:cs="Times New Roman"/>
          <w:noProof/>
          <w:color w:val="000000" w:themeColor="text1"/>
          <w:sz w:val="28"/>
          <w:szCs w:val="28"/>
        </w:rPr>
        <w:t xml:space="preserve">, en el artículo transitorio 9º, </w:t>
      </w:r>
      <w:r w:rsidR="00B173DE" w:rsidRPr="00AE3367">
        <w:rPr>
          <w:rFonts w:cs="Times New Roman"/>
          <w:noProof/>
          <w:color w:val="000000" w:themeColor="text1"/>
          <w:sz w:val="28"/>
          <w:szCs w:val="28"/>
        </w:rPr>
        <w:t xml:space="preserve">incorporaba un régimen especial de resolución de conflictos de competencia entre cualquier jurisdicción y la JEP. </w:t>
      </w:r>
      <w:r w:rsidR="007C410F" w:rsidRPr="00AE3367">
        <w:rPr>
          <w:rFonts w:cs="Times New Roman"/>
          <w:noProof/>
          <w:color w:val="000000" w:themeColor="text1"/>
          <w:sz w:val="28"/>
          <w:szCs w:val="28"/>
        </w:rPr>
        <w:t>Sin embargo, en la Sentencia C-674 de 2017</w:t>
      </w:r>
      <w:r w:rsidR="007C410F" w:rsidRPr="00AE3367">
        <w:rPr>
          <w:rStyle w:val="Refdenotaalpie"/>
          <w:noProof/>
          <w:color w:val="000000" w:themeColor="text1"/>
          <w:sz w:val="28"/>
          <w:szCs w:val="28"/>
        </w:rPr>
        <w:footnoteReference w:id="14"/>
      </w:r>
      <w:r w:rsidR="007C410F" w:rsidRPr="00AE3367">
        <w:rPr>
          <w:rFonts w:cs="Times New Roman"/>
          <w:noProof/>
          <w:color w:val="000000" w:themeColor="text1"/>
          <w:sz w:val="28"/>
          <w:szCs w:val="28"/>
        </w:rPr>
        <w:t xml:space="preserve">, </w:t>
      </w:r>
      <w:r w:rsidR="00305A8C" w:rsidRPr="00AE3367">
        <w:rPr>
          <w:rFonts w:cs="Times New Roman"/>
          <w:noProof/>
          <w:color w:val="000000" w:themeColor="text1"/>
          <w:sz w:val="28"/>
          <w:szCs w:val="28"/>
        </w:rPr>
        <w:t xml:space="preserve">esta Corporación </w:t>
      </w:r>
      <w:r w:rsidR="007C410F" w:rsidRPr="00AE3367">
        <w:rPr>
          <w:rFonts w:cs="Times New Roman"/>
          <w:noProof/>
          <w:color w:val="000000" w:themeColor="text1"/>
          <w:sz w:val="28"/>
          <w:szCs w:val="28"/>
        </w:rPr>
        <w:t xml:space="preserve">declaró la inexequibilidad de dicha norma, y determinó lo siguiente: </w:t>
      </w:r>
    </w:p>
    <w:p w14:paraId="7035F147" w14:textId="77777777" w:rsidR="007C410F" w:rsidRPr="00AE3367" w:rsidRDefault="007C410F" w:rsidP="00AE3367">
      <w:pPr>
        <w:jc w:val="both"/>
        <w:rPr>
          <w:rFonts w:cs="Times New Roman"/>
          <w:noProof/>
          <w:color w:val="000000" w:themeColor="text1"/>
          <w:sz w:val="28"/>
          <w:szCs w:val="28"/>
        </w:rPr>
      </w:pPr>
    </w:p>
    <w:p w14:paraId="60762468" w14:textId="77777777" w:rsidR="007C410F" w:rsidRPr="00AE3367" w:rsidRDefault="007C410F" w:rsidP="00AE3367">
      <w:pPr>
        <w:ind w:left="567"/>
        <w:jc w:val="both"/>
        <w:rPr>
          <w:rFonts w:cs="Times New Roman"/>
          <w:noProof/>
          <w:color w:val="000000" w:themeColor="text1"/>
          <w:sz w:val="28"/>
          <w:szCs w:val="28"/>
        </w:rPr>
      </w:pPr>
      <w:r w:rsidRPr="00AE3367">
        <w:rPr>
          <w:rFonts w:cs="Times New Roman"/>
          <w:noProof/>
          <w:color w:val="000000" w:themeColor="text1"/>
          <w:sz w:val="28"/>
          <w:szCs w:val="28"/>
        </w:rPr>
        <w:t>“</w:t>
      </w:r>
      <w:r w:rsidRPr="00AE3367">
        <w:rPr>
          <w:rFonts w:cs="Times New Roman"/>
          <w:i/>
          <w:noProof/>
          <w:color w:val="000000" w:themeColor="text1"/>
          <w:sz w:val="28"/>
          <w:szCs w:val="28"/>
        </w:rPr>
        <w:t xml:space="preserve">la Corte declarará la inconstitucionalidad del esquema especial de resolución de conflictos de competencias entre la Jurisdicción Especial para la Paz y las otras jurisdicciones, en el entendido de que </w:t>
      </w:r>
      <w:r w:rsidRPr="00AE3367">
        <w:rPr>
          <w:rFonts w:cs="Times New Roman"/>
          <w:i/>
          <w:noProof/>
          <w:color w:val="000000" w:themeColor="text1"/>
          <w:sz w:val="28"/>
          <w:szCs w:val="28"/>
          <w:u w:val="single"/>
        </w:rPr>
        <w:t xml:space="preserve">estas controversias se sujetarán al régimen general establecido en la </w:t>
      </w:r>
      <w:r w:rsidRPr="00AE3367">
        <w:rPr>
          <w:rFonts w:cs="Times New Roman"/>
          <w:i/>
          <w:noProof/>
          <w:color w:val="000000" w:themeColor="text1"/>
          <w:sz w:val="28"/>
          <w:szCs w:val="28"/>
          <w:u w:val="single"/>
        </w:rPr>
        <w:lastRenderedPageBreak/>
        <w:t>Constitución y la ley. Así las cosas se declarará la inexequibilidad del artículo transitorio 9º del artículo 1º del Acto Legislativo 01 de 2017, de modo que, de acuerdo con lo dispuesto en el artículo 14 del Acto Legislativo 02 de 2015, la atribución allí consignada corresponde a la Corte Constitucional, la cual puede ser ejercida a partir de la expedición de esta sentencia.</w:t>
      </w:r>
      <w:r w:rsidRPr="00AE3367">
        <w:rPr>
          <w:rFonts w:cs="Times New Roman"/>
          <w:i/>
          <w:noProof/>
          <w:color w:val="000000" w:themeColor="text1"/>
          <w:sz w:val="28"/>
          <w:szCs w:val="28"/>
        </w:rPr>
        <w:t xml:space="preserve"> Si bien es cierto que este tribunal ha entendido que, de manera provisional los conflictos de jurisdicción deben ser resueltos por la Sala Jurisdiccional Disciplinaria del Consejo Superior de la Judicatura, mientras entra en funcionamiento la Comisión Nacional de Disciplina Judicial, esta conclusión se aplica respecto de atribuciones que habían sido asignadas por la Constitución Política a dicho organismo, y no, como ocurre en este caso, respecto de potestades que nunca le fueron conferidas</w:t>
      </w:r>
      <w:r w:rsidRPr="00AE3367">
        <w:rPr>
          <w:rFonts w:cs="Times New Roman"/>
          <w:noProof/>
          <w:color w:val="000000" w:themeColor="text1"/>
          <w:sz w:val="28"/>
          <w:szCs w:val="28"/>
        </w:rPr>
        <w:t xml:space="preserve">”. </w:t>
      </w:r>
    </w:p>
    <w:p w14:paraId="2F5F8E1D" w14:textId="77777777" w:rsidR="007C410F" w:rsidRPr="00AE3367" w:rsidRDefault="007C410F" w:rsidP="00AE3367">
      <w:pPr>
        <w:jc w:val="both"/>
        <w:rPr>
          <w:rFonts w:cs="Times New Roman"/>
          <w:noProof/>
          <w:color w:val="000000" w:themeColor="text1"/>
          <w:sz w:val="28"/>
          <w:szCs w:val="28"/>
        </w:rPr>
      </w:pPr>
    </w:p>
    <w:p w14:paraId="7FDBAA53" w14:textId="2C2D8496" w:rsidR="0015325D" w:rsidRPr="00AE3367" w:rsidRDefault="00424D96" w:rsidP="00AE3367">
      <w:pPr>
        <w:jc w:val="both"/>
        <w:rPr>
          <w:rFonts w:cs="Times New Roman"/>
          <w:noProof/>
          <w:color w:val="000000" w:themeColor="text1"/>
          <w:sz w:val="28"/>
          <w:szCs w:val="28"/>
        </w:rPr>
      </w:pPr>
      <w:r w:rsidRPr="00AE3367">
        <w:rPr>
          <w:rFonts w:cs="Times New Roman"/>
          <w:noProof/>
          <w:color w:val="000000" w:themeColor="text1"/>
          <w:sz w:val="28"/>
          <w:szCs w:val="28"/>
        </w:rPr>
        <w:t>1.</w:t>
      </w:r>
      <w:r w:rsidR="00305A8C" w:rsidRPr="00AE3367">
        <w:rPr>
          <w:rFonts w:cs="Times New Roman"/>
          <w:noProof/>
          <w:color w:val="000000" w:themeColor="text1"/>
          <w:sz w:val="28"/>
          <w:szCs w:val="28"/>
        </w:rPr>
        <w:t>7.</w:t>
      </w:r>
      <w:r w:rsidR="001E291B" w:rsidRPr="00AE3367">
        <w:rPr>
          <w:rFonts w:cs="Times New Roman"/>
          <w:noProof/>
          <w:color w:val="000000" w:themeColor="text1"/>
          <w:sz w:val="28"/>
          <w:szCs w:val="28"/>
        </w:rPr>
        <w:t xml:space="preserve"> </w:t>
      </w:r>
      <w:r w:rsidR="00AB72D5" w:rsidRPr="00AE3367">
        <w:rPr>
          <w:rFonts w:cs="Times New Roman"/>
          <w:noProof/>
          <w:color w:val="000000" w:themeColor="text1"/>
          <w:sz w:val="28"/>
          <w:szCs w:val="28"/>
        </w:rPr>
        <w:t>E</w:t>
      </w:r>
      <w:r w:rsidR="00305A8C" w:rsidRPr="00AE3367">
        <w:rPr>
          <w:rFonts w:cs="Times New Roman"/>
          <w:noProof/>
          <w:color w:val="000000" w:themeColor="text1"/>
          <w:sz w:val="28"/>
          <w:szCs w:val="28"/>
        </w:rPr>
        <w:t xml:space="preserve">l </w:t>
      </w:r>
      <w:r w:rsidR="00BB2DAD" w:rsidRPr="00AE3367">
        <w:rPr>
          <w:rFonts w:cs="Times New Roman"/>
          <w:noProof/>
          <w:color w:val="000000" w:themeColor="text1"/>
          <w:sz w:val="28"/>
          <w:szCs w:val="28"/>
        </w:rPr>
        <w:t xml:space="preserve">presente </w:t>
      </w:r>
      <w:r w:rsidR="00305A8C" w:rsidRPr="00AE3367">
        <w:rPr>
          <w:rFonts w:cs="Times New Roman"/>
          <w:noProof/>
          <w:color w:val="000000" w:themeColor="text1"/>
          <w:sz w:val="28"/>
          <w:szCs w:val="28"/>
        </w:rPr>
        <w:t xml:space="preserve">asunto </w:t>
      </w:r>
      <w:r w:rsidR="00AC3843" w:rsidRPr="00AE3367">
        <w:rPr>
          <w:rFonts w:cs="Times New Roman"/>
          <w:noProof/>
          <w:color w:val="000000" w:themeColor="text1"/>
          <w:sz w:val="28"/>
          <w:szCs w:val="28"/>
        </w:rPr>
        <w:t>se trata de</w:t>
      </w:r>
      <w:r w:rsidR="001E291B" w:rsidRPr="00AE3367">
        <w:rPr>
          <w:rFonts w:cs="Times New Roman"/>
          <w:noProof/>
          <w:color w:val="000000" w:themeColor="text1"/>
          <w:sz w:val="28"/>
          <w:szCs w:val="28"/>
        </w:rPr>
        <w:t xml:space="preserve"> una controversia de la que hacen parte la Sala Jurisdiccional Disciplinaria del Consejo Superior de la Judicatura y la Procuraduría General de la Nación. En ese sentido</w:t>
      </w:r>
      <w:r w:rsidR="00E97F7A" w:rsidRPr="00AE3367">
        <w:rPr>
          <w:rFonts w:cs="Times New Roman"/>
          <w:noProof/>
          <w:color w:val="000000" w:themeColor="text1"/>
          <w:sz w:val="28"/>
          <w:szCs w:val="28"/>
        </w:rPr>
        <w:t>, en los términos del artículo 241-11 de la Constitución Política y de acuerdo con las consideraciones antes desarrolladas</w:t>
      </w:r>
      <w:r w:rsidR="001E291B" w:rsidRPr="00AE3367">
        <w:rPr>
          <w:rFonts w:cs="Times New Roman"/>
          <w:noProof/>
          <w:color w:val="000000" w:themeColor="text1"/>
          <w:sz w:val="28"/>
          <w:szCs w:val="28"/>
        </w:rPr>
        <w:t>, claramente</w:t>
      </w:r>
      <w:r w:rsidR="00E97F7A" w:rsidRPr="00AE3367">
        <w:rPr>
          <w:rFonts w:cs="Times New Roman"/>
          <w:noProof/>
          <w:color w:val="000000" w:themeColor="text1"/>
          <w:sz w:val="28"/>
          <w:szCs w:val="28"/>
        </w:rPr>
        <w:t xml:space="preserve"> </w:t>
      </w:r>
      <w:r w:rsidR="00BB2DAD" w:rsidRPr="00AE3367">
        <w:rPr>
          <w:rFonts w:cs="Times New Roman"/>
          <w:noProof/>
          <w:color w:val="000000" w:themeColor="text1"/>
          <w:sz w:val="28"/>
          <w:szCs w:val="28"/>
        </w:rPr>
        <w:t xml:space="preserve">el </w:t>
      </w:r>
      <w:r w:rsidR="00E97F7A" w:rsidRPr="00AE3367">
        <w:rPr>
          <w:rFonts w:cs="Times New Roman"/>
          <w:noProof/>
          <w:color w:val="000000" w:themeColor="text1"/>
          <w:sz w:val="28"/>
          <w:szCs w:val="28"/>
        </w:rPr>
        <w:t>caso</w:t>
      </w:r>
      <w:r w:rsidR="001E291B" w:rsidRPr="00AE3367">
        <w:rPr>
          <w:rFonts w:cs="Times New Roman"/>
          <w:noProof/>
          <w:color w:val="000000" w:themeColor="text1"/>
          <w:sz w:val="28"/>
          <w:szCs w:val="28"/>
        </w:rPr>
        <w:t xml:space="preserve"> no se trata</w:t>
      </w:r>
      <w:r w:rsidR="00E97F7A" w:rsidRPr="00AE3367">
        <w:rPr>
          <w:rFonts w:cs="Times New Roman"/>
          <w:noProof/>
          <w:color w:val="000000" w:themeColor="text1"/>
          <w:sz w:val="28"/>
          <w:szCs w:val="28"/>
        </w:rPr>
        <w:t xml:space="preserve"> </w:t>
      </w:r>
      <w:r w:rsidR="001E291B" w:rsidRPr="00AE3367">
        <w:rPr>
          <w:rFonts w:cs="Times New Roman"/>
          <w:noProof/>
          <w:color w:val="000000" w:themeColor="text1"/>
          <w:sz w:val="28"/>
          <w:szCs w:val="28"/>
        </w:rPr>
        <w:t>de un conflicto</w:t>
      </w:r>
      <w:r w:rsidR="005C7810" w:rsidRPr="00AE3367">
        <w:rPr>
          <w:rFonts w:cs="Times New Roman"/>
          <w:noProof/>
          <w:color w:val="000000" w:themeColor="text1"/>
          <w:sz w:val="28"/>
          <w:szCs w:val="28"/>
        </w:rPr>
        <w:t xml:space="preserve"> de</w:t>
      </w:r>
      <w:r w:rsidR="001E291B" w:rsidRPr="00AE3367">
        <w:rPr>
          <w:rFonts w:cs="Times New Roman"/>
          <w:noProof/>
          <w:color w:val="000000" w:themeColor="text1"/>
          <w:sz w:val="28"/>
          <w:szCs w:val="28"/>
        </w:rPr>
        <w:t xml:space="preserve"> jurisdicciones del cual haga parte la Jurisdicción Especial para la Paz, siendo ese el único evento en el cual, actualmente, est</w:t>
      </w:r>
      <w:r w:rsidR="006D62BF" w:rsidRPr="00AE3367">
        <w:rPr>
          <w:rFonts w:cs="Times New Roman"/>
          <w:noProof/>
          <w:color w:val="000000" w:themeColor="text1"/>
          <w:sz w:val="28"/>
          <w:szCs w:val="28"/>
        </w:rPr>
        <w:t>á</w:t>
      </w:r>
      <w:r w:rsidR="001E291B" w:rsidRPr="00AE3367">
        <w:rPr>
          <w:rFonts w:cs="Times New Roman"/>
          <w:noProof/>
          <w:color w:val="000000" w:themeColor="text1"/>
          <w:sz w:val="28"/>
          <w:szCs w:val="28"/>
        </w:rPr>
        <w:t xml:space="preserve"> autorizada la activación de la cl</w:t>
      </w:r>
      <w:r w:rsidR="001F38E4" w:rsidRPr="00AE3367">
        <w:rPr>
          <w:rFonts w:cs="Times New Roman"/>
          <w:noProof/>
          <w:color w:val="000000" w:themeColor="text1"/>
          <w:sz w:val="28"/>
          <w:szCs w:val="28"/>
        </w:rPr>
        <w:t>áu</w:t>
      </w:r>
      <w:r w:rsidR="001E291B" w:rsidRPr="00AE3367">
        <w:rPr>
          <w:rFonts w:cs="Times New Roman"/>
          <w:noProof/>
          <w:color w:val="000000" w:themeColor="text1"/>
          <w:sz w:val="28"/>
          <w:szCs w:val="28"/>
        </w:rPr>
        <w:t>sula constitucional referida. Con base en ello, la Corte se</w:t>
      </w:r>
      <w:r w:rsidR="00305A8C" w:rsidRPr="00AE3367">
        <w:rPr>
          <w:rFonts w:cs="Times New Roman"/>
          <w:noProof/>
          <w:color w:val="000000" w:themeColor="text1"/>
          <w:sz w:val="28"/>
          <w:szCs w:val="28"/>
        </w:rPr>
        <w:t xml:space="preserve"> abstendrá de </w:t>
      </w:r>
      <w:r w:rsidR="00637709" w:rsidRPr="00AE3367">
        <w:rPr>
          <w:rFonts w:cs="Times New Roman"/>
          <w:noProof/>
          <w:color w:val="000000" w:themeColor="text1"/>
          <w:sz w:val="28"/>
          <w:szCs w:val="28"/>
        </w:rPr>
        <w:t>pronunciarse</w:t>
      </w:r>
      <w:r w:rsidR="00820012" w:rsidRPr="00AE3367">
        <w:rPr>
          <w:rFonts w:cs="Times New Roman"/>
          <w:noProof/>
          <w:color w:val="000000" w:themeColor="text1"/>
          <w:sz w:val="28"/>
          <w:szCs w:val="28"/>
        </w:rPr>
        <w:t xml:space="preserve">, por carecer de competencia. </w:t>
      </w:r>
    </w:p>
    <w:p w14:paraId="29223069" w14:textId="77777777" w:rsidR="0015325D" w:rsidRPr="00AE3367" w:rsidRDefault="0015325D" w:rsidP="00AE3367">
      <w:pPr>
        <w:jc w:val="both"/>
        <w:rPr>
          <w:rFonts w:cs="Times New Roman"/>
          <w:noProof/>
          <w:color w:val="000000" w:themeColor="text1"/>
          <w:sz w:val="28"/>
          <w:szCs w:val="28"/>
        </w:rPr>
      </w:pPr>
    </w:p>
    <w:p w14:paraId="1FA7E22C" w14:textId="66F735E2" w:rsidR="00AC3843" w:rsidRPr="00AE3367" w:rsidRDefault="00AC3843" w:rsidP="00AE3367">
      <w:pPr>
        <w:jc w:val="both"/>
        <w:rPr>
          <w:rFonts w:cs="Times New Roman"/>
          <w:sz w:val="28"/>
          <w:szCs w:val="28"/>
        </w:rPr>
      </w:pPr>
      <w:bookmarkStart w:id="2" w:name="_Toc507407099"/>
      <w:r w:rsidRPr="00AE3367">
        <w:rPr>
          <w:rFonts w:cs="Times New Roman"/>
          <w:sz w:val="28"/>
          <w:szCs w:val="28"/>
        </w:rPr>
        <w:t xml:space="preserve">1.8. </w:t>
      </w:r>
      <w:r w:rsidR="00AB72D5" w:rsidRPr="00AE3367">
        <w:rPr>
          <w:rFonts w:cs="Times New Roman"/>
          <w:sz w:val="28"/>
          <w:szCs w:val="28"/>
        </w:rPr>
        <w:t>Aclarado lo anterior</w:t>
      </w:r>
      <w:r w:rsidRPr="00AE3367">
        <w:rPr>
          <w:rFonts w:cs="Times New Roman"/>
          <w:sz w:val="28"/>
          <w:szCs w:val="28"/>
        </w:rPr>
        <w:t>, esta Corporación</w:t>
      </w:r>
      <w:r w:rsidR="00A6715A" w:rsidRPr="00AE3367">
        <w:rPr>
          <w:rFonts w:cs="Times New Roman"/>
          <w:sz w:val="28"/>
          <w:szCs w:val="28"/>
        </w:rPr>
        <w:t xml:space="preserve"> </w:t>
      </w:r>
      <w:r w:rsidR="00BD4286" w:rsidRPr="00AE3367">
        <w:rPr>
          <w:rFonts w:cs="Times New Roman"/>
          <w:sz w:val="28"/>
          <w:szCs w:val="28"/>
        </w:rPr>
        <w:t>a continuación se ocupará de definir a qu</w:t>
      </w:r>
      <w:r w:rsidR="003F6B3D" w:rsidRPr="00AE3367">
        <w:rPr>
          <w:rFonts w:cs="Times New Roman"/>
          <w:sz w:val="28"/>
          <w:szCs w:val="28"/>
        </w:rPr>
        <w:t xml:space="preserve">é </w:t>
      </w:r>
      <w:r w:rsidR="00BD4286" w:rsidRPr="00AE3367">
        <w:rPr>
          <w:rFonts w:cs="Times New Roman"/>
          <w:sz w:val="28"/>
          <w:szCs w:val="28"/>
        </w:rPr>
        <w:t xml:space="preserve">autoridad deberá </w:t>
      </w:r>
      <w:r w:rsidRPr="00AE3367">
        <w:rPr>
          <w:rFonts w:cs="Times New Roman"/>
          <w:sz w:val="28"/>
          <w:szCs w:val="28"/>
        </w:rPr>
        <w:t>remitir el expediente</w:t>
      </w:r>
      <w:r w:rsidR="00BD4286" w:rsidRPr="00AE3367">
        <w:rPr>
          <w:rFonts w:cs="Times New Roman"/>
          <w:sz w:val="28"/>
          <w:szCs w:val="28"/>
        </w:rPr>
        <w:t>.</w:t>
      </w:r>
    </w:p>
    <w:p w14:paraId="069C640A" w14:textId="77777777" w:rsidR="00AC3843" w:rsidRPr="00AE3367" w:rsidRDefault="00AC3843" w:rsidP="00AE3367">
      <w:pPr>
        <w:jc w:val="both"/>
        <w:rPr>
          <w:rFonts w:cs="Times New Roman"/>
          <w:sz w:val="28"/>
          <w:szCs w:val="28"/>
        </w:rPr>
      </w:pPr>
    </w:p>
    <w:p w14:paraId="38B693FF" w14:textId="77777777" w:rsidR="00AC3843" w:rsidRPr="00AE3367" w:rsidRDefault="00AC3843" w:rsidP="00AE3367">
      <w:pPr>
        <w:jc w:val="both"/>
        <w:rPr>
          <w:rFonts w:cs="Times New Roman"/>
          <w:b/>
          <w:bCs/>
          <w:sz w:val="28"/>
          <w:szCs w:val="28"/>
        </w:rPr>
      </w:pPr>
      <w:r w:rsidRPr="00AE3367">
        <w:rPr>
          <w:rFonts w:cs="Times New Roman"/>
          <w:b/>
          <w:bCs/>
          <w:sz w:val="28"/>
          <w:szCs w:val="28"/>
        </w:rPr>
        <w:t xml:space="preserve">2. Corresponde a la </w:t>
      </w:r>
      <w:r w:rsidR="001A58CD" w:rsidRPr="00AE3367">
        <w:rPr>
          <w:rFonts w:cs="Times New Roman"/>
          <w:b/>
          <w:bCs/>
          <w:sz w:val="28"/>
          <w:szCs w:val="28"/>
        </w:rPr>
        <w:t>Comisión de Ética y Estatuto del Congresista</w:t>
      </w:r>
      <w:r w:rsidR="00660A78" w:rsidRPr="00AE3367">
        <w:rPr>
          <w:rFonts w:cs="Times New Roman"/>
          <w:b/>
          <w:bCs/>
          <w:sz w:val="28"/>
          <w:szCs w:val="28"/>
        </w:rPr>
        <w:t>,</w:t>
      </w:r>
      <w:r w:rsidR="001A58CD" w:rsidRPr="00AE3367">
        <w:rPr>
          <w:rFonts w:cs="Times New Roman"/>
          <w:b/>
          <w:bCs/>
          <w:sz w:val="28"/>
          <w:szCs w:val="28"/>
        </w:rPr>
        <w:t xml:space="preserve"> de la Cámara de Representantes, pronunciarse acerca de su competencia para conocer de la queja disciplinaria formulada en contra del congresista Julián Bedoya </w:t>
      </w:r>
      <w:proofErr w:type="spellStart"/>
      <w:r w:rsidR="001A58CD" w:rsidRPr="00AE3367">
        <w:rPr>
          <w:rFonts w:cs="Times New Roman"/>
          <w:b/>
          <w:bCs/>
          <w:sz w:val="28"/>
          <w:szCs w:val="28"/>
        </w:rPr>
        <w:t>Pulgarín</w:t>
      </w:r>
      <w:proofErr w:type="spellEnd"/>
    </w:p>
    <w:p w14:paraId="4F587899" w14:textId="77777777" w:rsidR="00AC3843" w:rsidRPr="00AE3367" w:rsidRDefault="00AC3843" w:rsidP="00AE3367">
      <w:pPr>
        <w:jc w:val="both"/>
        <w:rPr>
          <w:rFonts w:cs="Times New Roman"/>
          <w:sz w:val="28"/>
          <w:szCs w:val="28"/>
        </w:rPr>
      </w:pPr>
    </w:p>
    <w:p w14:paraId="1017730E" w14:textId="1C06A866" w:rsidR="00AC3843" w:rsidRPr="00AE3367" w:rsidRDefault="00AC3843" w:rsidP="00AE3367">
      <w:pPr>
        <w:jc w:val="both"/>
        <w:rPr>
          <w:rFonts w:cs="Times New Roman"/>
          <w:sz w:val="28"/>
          <w:szCs w:val="28"/>
        </w:rPr>
      </w:pPr>
      <w:r w:rsidRPr="00AE3367">
        <w:rPr>
          <w:rFonts w:cs="Times New Roman"/>
          <w:sz w:val="28"/>
          <w:szCs w:val="28"/>
        </w:rPr>
        <w:t xml:space="preserve">2.1. De manera preliminar, la Corte Constitucional advierte que el </w:t>
      </w:r>
      <w:r w:rsidR="00BD4286" w:rsidRPr="00AE3367">
        <w:rPr>
          <w:rFonts w:cs="Times New Roman"/>
          <w:sz w:val="28"/>
          <w:szCs w:val="28"/>
        </w:rPr>
        <w:t xml:space="preserve">presente </w:t>
      </w:r>
      <w:r w:rsidRPr="00AE3367">
        <w:rPr>
          <w:rFonts w:cs="Times New Roman"/>
          <w:sz w:val="28"/>
          <w:szCs w:val="28"/>
        </w:rPr>
        <w:t xml:space="preserve">caso está enmarcado </w:t>
      </w:r>
      <w:r w:rsidR="003F6B3D" w:rsidRPr="00AE3367">
        <w:rPr>
          <w:rFonts w:cs="Times New Roman"/>
          <w:sz w:val="28"/>
          <w:szCs w:val="28"/>
        </w:rPr>
        <w:t>por</w:t>
      </w:r>
      <w:r w:rsidR="00BD4286" w:rsidRPr="00AE3367">
        <w:rPr>
          <w:rFonts w:cs="Times New Roman"/>
          <w:sz w:val="28"/>
          <w:szCs w:val="28"/>
        </w:rPr>
        <w:t xml:space="preserve"> unas </w:t>
      </w:r>
      <w:r w:rsidRPr="00AE3367">
        <w:rPr>
          <w:rFonts w:cs="Times New Roman"/>
          <w:sz w:val="28"/>
          <w:szCs w:val="28"/>
        </w:rPr>
        <w:t xml:space="preserve">circunstancias </w:t>
      </w:r>
      <w:r w:rsidR="00BD4286" w:rsidRPr="00AE3367">
        <w:rPr>
          <w:rFonts w:cs="Times New Roman"/>
          <w:sz w:val="28"/>
          <w:szCs w:val="28"/>
        </w:rPr>
        <w:t xml:space="preserve">concretas </w:t>
      </w:r>
      <w:r w:rsidR="00627472" w:rsidRPr="00AE3367">
        <w:rPr>
          <w:rFonts w:cs="Times New Roman"/>
          <w:sz w:val="28"/>
          <w:szCs w:val="28"/>
        </w:rPr>
        <w:t xml:space="preserve">y </w:t>
      </w:r>
      <w:r w:rsidR="00BD4286" w:rsidRPr="00AE3367">
        <w:rPr>
          <w:rFonts w:cs="Times New Roman"/>
          <w:sz w:val="28"/>
          <w:szCs w:val="28"/>
        </w:rPr>
        <w:t>especiales</w:t>
      </w:r>
      <w:r w:rsidRPr="00AE3367">
        <w:rPr>
          <w:rFonts w:cs="Times New Roman"/>
          <w:sz w:val="28"/>
          <w:szCs w:val="28"/>
        </w:rPr>
        <w:t>. Se trata de una controversia suscitada entre dos autoridades, una de carácter administrativo</w:t>
      </w:r>
      <w:r w:rsidR="00AB72D5" w:rsidRPr="00AE3367">
        <w:rPr>
          <w:rFonts w:cs="Times New Roman"/>
          <w:sz w:val="28"/>
          <w:szCs w:val="28"/>
        </w:rPr>
        <w:t>,</w:t>
      </w:r>
      <w:r w:rsidR="00B867C6" w:rsidRPr="00AE3367">
        <w:rPr>
          <w:rFonts w:cs="Times New Roman"/>
          <w:sz w:val="28"/>
          <w:szCs w:val="28"/>
        </w:rPr>
        <w:t xml:space="preserve"> autónoma e independiente</w:t>
      </w:r>
      <w:r w:rsidRPr="00AE3367">
        <w:rPr>
          <w:rFonts w:cs="Times New Roman"/>
          <w:sz w:val="28"/>
          <w:szCs w:val="28"/>
        </w:rPr>
        <w:t xml:space="preserve"> (</w:t>
      </w:r>
      <w:r w:rsidR="00B867C6" w:rsidRPr="00AE3367">
        <w:rPr>
          <w:rFonts w:cs="Times New Roman"/>
          <w:sz w:val="28"/>
          <w:szCs w:val="28"/>
        </w:rPr>
        <w:t>Procuraduría General de la Nación</w:t>
      </w:r>
      <w:r w:rsidRPr="00AE3367">
        <w:rPr>
          <w:rFonts w:cs="Times New Roman"/>
          <w:sz w:val="28"/>
          <w:szCs w:val="28"/>
        </w:rPr>
        <w:t>)</w:t>
      </w:r>
      <w:r w:rsidR="00B867C6" w:rsidRPr="00AE3367">
        <w:rPr>
          <w:rFonts w:cs="Times New Roman"/>
          <w:sz w:val="28"/>
          <w:szCs w:val="28"/>
        </w:rPr>
        <w:t>,</w:t>
      </w:r>
      <w:r w:rsidRPr="00AE3367">
        <w:rPr>
          <w:rFonts w:cs="Times New Roman"/>
          <w:sz w:val="28"/>
          <w:szCs w:val="28"/>
        </w:rPr>
        <w:t xml:space="preserve"> y otra judicial (Sala Disciplinaria del Consejo Superior de la Judicatura). Ambas entidades niegan su competencia para conocer de una queja disciplinaria formulada en el año 2016 en contra del congresista Julián Bedoya </w:t>
      </w:r>
      <w:proofErr w:type="spellStart"/>
      <w:r w:rsidRPr="00AE3367">
        <w:rPr>
          <w:rFonts w:cs="Times New Roman"/>
          <w:sz w:val="28"/>
          <w:szCs w:val="28"/>
        </w:rPr>
        <w:t>Pulgarín</w:t>
      </w:r>
      <w:proofErr w:type="spellEnd"/>
      <w:r w:rsidRPr="00AE3367">
        <w:rPr>
          <w:rFonts w:cs="Times New Roman"/>
          <w:sz w:val="28"/>
          <w:szCs w:val="28"/>
        </w:rPr>
        <w:t xml:space="preserve">, como miembro de la Comisión de Investigación y Acusación de la Cámara de Representantes y, específicamente, por hechos relacionados con su función como instructor de la causa que se adelantó ante dicha célula </w:t>
      </w:r>
      <w:proofErr w:type="spellStart"/>
      <w:r w:rsidRPr="00AE3367">
        <w:rPr>
          <w:rFonts w:cs="Times New Roman"/>
          <w:sz w:val="28"/>
          <w:szCs w:val="28"/>
        </w:rPr>
        <w:t>congresional</w:t>
      </w:r>
      <w:proofErr w:type="spellEnd"/>
      <w:r w:rsidRPr="00AE3367">
        <w:rPr>
          <w:rFonts w:cs="Times New Roman"/>
          <w:sz w:val="28"/>
          <w:szCs w:val="28"/>
        </w:rPr>
        <w:t xml:space="preserve">, en contra del </w:t>
      </w:r>
      <w:proofErr w:type="spellStart"/>
      <w:r w:rsidRPr="00AE3367">
        <w:rPr>
          <w:rFonts w:cs="Times New Roman"/>
          <w:sz w:val="28"/>
          <w:szCs w:val="28"/>
        </w:rPr>
        <w:t>exmagistrado</w:t>
      </w:r>
      <w:proofErr w:type="spellEnd"/>
      <w:r w:rsidRPr="00AE3367">
        <w:rPr>
          <w:rFonts w:cs="Times New Roman"/>
          <w:sz w:val="28"/>
          <w:szCs w:val="28"/>
        </w:rPr>
        <w:t xml:space="preserve"> Jorge Ignacio </w:t>
      </w:r>
      <w:proofErr w:type="spellStart"/>
      <w:r w:rsidRPr="00AE3367">
        <w:rPr>
          <w:rFonts w:cs="Times New Roman"/>
          <w:sz w:val="28"/>
          <w:szCs w:val="28"/>
        </w:rPr>
        <w:t>Pretelt</w:t>
      </w:r>
      <w:proofErr w:type="spellEnd"/>
      <w:r w:rsidRPr="00AE3367">
        <w:rPr>
          <w:rFonts w:cs="Times New Roman"/>
          <w:sz w:val="28"/>
          <w:szCs w:val="28"/>
        </w:rPr>
        <w:t xml:space="preserve"> </w:t>
      </w:r>
      <w:proofErr w:type="spellStart"/>
      <w:r w:rsidRPr="00AE3367">
        <w:rPr>
          <w:rFonts w:cs="Times New Roman"/>
          <w:sz w:val="28"/>
          <w:szCs w:val="28"/>
        </w:rPr>
        <w:t>Chaljub</w:t>
      </w:r>
      <w:proofErr w:type="spellEnd"/>
      <w:r w:rsidRPr="00AE3367">
        <w:rPr>
          <w:rFonts w:cs="Times New Roman"/>
          <w:sz w:val="28"/>
          <w:szCs w:val="28"/>
        </w:rPr>
        <w:t xml:space="preserve">.   </w:t>
      </w:r>
    </w:p>
    <w:p w14:paraId="6EA5A205" w14:textId="77777777" w:rsidR="00AC3843" w:rsidRPr="00AE3367" w:rsidRDefault="00AC3843" w:rsidP="00AE3367">
      <w:pPr>
        <w:jc w:val="both"/>
        <w:rPr>
          <w:rFonts w:cs="Times New Roman"/>
          <w:sz w:val="28"/>
          <w:szCs w:val="28"/>
        </w:rPr>
      </w:pPr>
    </w:p>
    <w:p w14:paraId="63459406" w14:textId="6B532E70" w:rsidR="00AC3843" w:rsidRPr="00AE3367" w:rsidRDefault="00AC3843" w:rsidP="00AE3367">
      <w:pPr>
        <w:jc w:val="both"/>
        <w:rPr>
          <w:rFonts w:cs="Times New Roman"/>
          <w:sz w:val="28"/>
          <w:szCs w:val="28"/>
        </w:rPr>
      </w:pPr>
      <w:r w:rsidRPr="00AE3367">
        <w:rPr>
          <w:rFonts w:cs="Times New Roman"/>
          <w:sz w:val="28"/>
          <w:szCs w:val="28"/>
        </w:rPr>
        <w:t xml:space="preserve">2.2. De entrada, </w:t>
      </w:r>
      <w:r w:rsidR="00173494" w:rsidRPr="00AE3367">
        <w:rPr>
          <w:rFonts w:cs="Times New Roman"/>
          <w:sz w:val="28"/>
          <w:szCs w:val="28"/>
        </w:rPr>
        <w:t>se</w:t>
      </w:r>
      <w:r w:rsidRPr="00AE3367">
        <w:rPr>
          <w:rFonts w:cs="Times New Roman"/>
          <w:sz w:val="28"/>
          <w:szCs w:val="28"/>
        </w:rPr>
        <w:t xml:space="preserve"> advierte que el ordenamiento jurídico no define expresamente el órgano encargado de zanjar un asunto </w:t>
      </w:r>
      <w:r w:rsidR="00173494" w:rsidRPr="00AE3367">
        <w:rPr>
          <w:rFonts w:cs="Times New Roman"/>
          <w:sz w:val="28"/>
          <w:szCs w:val="28"/>
        </w:rPr>
        <w:t>circunscrito por</w:t>
      </w:r>
      <w:r w:rsidRPr="00AE3367">
        <w:rPr>
          <w:rFonts w:cs="Times New Roman"/>
          <w:sz w:val="28"/>
          <w:szCs w:val="28"/>
        </w:rPr>
        <w:t xml:space="preserve"> las </w:t>
      </w:r>
      <w:r w:rsidRPr="00AE3367">
        <w:rPr>
          <w:rFonts w:cs="Times New Roman"/>
          <w:sz w:val="28"/>
          <w:szCs w:val="28"/>
        </w:rPr>
        <w:lastRenderedPageBreak/>
        <w:t xml:space="preserve">particularidades del </w:t>
      </w:r>
      <w:r w:rsidR="00BD4286" w:rsidRPr="00AE3367">
        <w:rPr>
          <w:rFonts w:cs="Times New Roman"/>
          <w:sz w:val="28"/>
          <w:szCs w:val="28"/>
        </w:rPr>
        <w:t>presente caso</w:t>
      </w:r>
      <w:r w:rsidRPr="00AE3367">
        <w:rPr>
          <w:rFonts w:cs="Times New Roman"/>
          <w:sz w:val="28"/>
          <w:szCs w:val="28"/>
        </w:rPr>
        <w:t xml:space="preserve">. </w:t>
      </w:r>
      <w:r w:rsidR="00173494" w:rsidRPr="00AE3367">
        <w:rPr>
          <w:rFonts w:cs="Times New Roman"/>
          <w:sz w:val="28"/>
          <w:szCs w:val="28"/>
        </w:rPr>
        <w:t>En ese sentido, resulta pertinente</w:t>
      </w:r>
      <w:r w:rsidR="00AB72D5" w:rsidRPr="00AE3367">
        <w:rPr>
          <w:rFonts w:cs="Times New Roman"/>
          <w:sz w:val="28"/>
          <w:szCs w:val="28"/>
        </w:rPr>
        <w:t xml:space="preserve"> describir los </w:t>
      </w:r>
      <w:r w:rsidR="00173494" w:rsidRPr="00AE3367">
        <w:rPr>
          <w:rFonts w:cs="Times New Roman"/>
          <w:sz w:val="28"/>
          <w:szCs w:val="28"/>
        </w:rPr>
        <w:t xml:space="preserve">escenarios generales contemplados por </w:t>
      </w:r>
      <w:r w:rsidR="00C34B24" w:rsidRPr="00AE3367">
        <w:rPr>
          <w:rFonts w:cs="Times New Roman"/>
          <w:sz w:val="28"/>
          <w:szCs w:val="28"/>
        </w:rPr>
        <w:t>la legislación</w:t>
      </w:r>
      <w:r w:rsidR="00173494" w:rsidRPr="00AE3367">
        <w:rPr>
          <w:rFonts w:cs="Times New Roman"/>
          <w:sz w:val="28"/>
          <w:szCs w:val="28"/>
        </w:rPr>
        <w:t xml:space="preserve">, en el marco de los cuales </w:t>
      </w:r>
      <w:r w:rsidR="009819FA" w:rsidRPr="00AE3367">
        <w:rPr>
          <w:rFonts w:cs="Times New Roman"/>
          <w:sz w:val="28"/>
          <w:szCs w:val="28"/>
        </w:rPr>
        <w:t xml:space="preserve">se </w:t>
      </w:r>
      <w:r w:rsidR="00173494" w:rsidRPr="00AE3367">
        <w:rPr>
          <w:rFonts w:cs="Times New Roman"/>
          <w:sz w:val="28"/>
          <w:szCs w:val="28"/>
        </w:rPr>
        <w:t>debería identificar</w:t>
      </w:r>
      <w:r w:rsidR="009819FA" w:rsidRPr="00AE3367">
        <w:rPr>
          <w:rFonts w:cs="Times New Roman"/>
          <w:sz w:val="28"/>
          <w:szCs w:val="28"/>
        </w:rPr>
        <w:t>, razonablemente,</w:t>
      </w:r>
      <w:r w:rsidR="00B867C6" w:rsidRPr="00AE3367">
        <w:rPr>
          <w:rFonts w:cs="Times New Roman"/>
          <w:sz w:val="28"/>
          <w:szCs w:val="28"/>
        </w:rPr>
        <w:t xml:space="preserve"> la autoridad </w:t>
      </w:r>
      <w:r w:rsidR="00173494" w:rsidRPr="00AE3367">
        <w:rPr>
          <w:rFonts w:cs="Times New Roman"/>
          <w:sz w:val="28"/>
          <w:szCs w:val="28"/>
        </w:rPr>
        <w:t xml:space="preserve">encargada de solucionar </w:t>
      </w:r>
      <w:r w:rsidR="00B867C6" w:rsidRPr="00AE3367">
        <w:rPr>
          <w:rFonts w:cs="Times New Roman"/>
          <w:sz w:val="28"/>
          <w:szCs w:val="28"/>
        </w:rPr>
        <w:t>la controversia</w:t>
      </w:r>
      <w:r w:rsidR="00FE7D05" w:rsidRPr="00AE3367">
        <w:rPr>
          <w:rFonts w:cs="Times New Roman"/>
          <w:sz w:val="28"/>
          <w:szCs w:val="28"/>
        </w:rPr>
        <w:t xml:space="preserve"> </w:t>
      </w:r>
      <w:r w:rsidR="001A58CD" w:rsidRPr="00AE3367">
        <w:rPr>
          <w:rFonts w:cs="Times New Roman"/>
          <w:sz w:val="28"/>
          <w:szCs w:val="28"/>
        </w:rPr>
        <w:t xml:space="preserve">relacionada con la definición del órgano competente para conocer de la queja disciplinaria formulada contra el entonces Representante a la Cámara, Julián Bedoya </w:t>
      </w:r>
      <w:proofErr w:type="spellStart"/>
      <w:r w:rsidR="001A58CD" w:rsidRPr="00AE3367">
        <w:rPr>
          <w:rFonts w:cs="Times New Roman"/>
          <w:sz w:val="28"/>
          <w:szCs w:val="28"/>
        </w:rPr>
        <w:t>Pulgarín</w:t>
      </w:r>
      <w:proofErr w:type="spellEnd"/>
      <w:r w:rsidR="00B867C6" w:rsidRPr="00AE3367">
        <w:rPr>
          <w:rFonts w:cs="Times New Roman"/>
          <w:sz w:val="28"/>
          <w:szCs w:val="28"/>
        </w:rPr>
        <w:t xml:space="preserve">. </w:t>
      </w:r>
      <w:r w:rsidRPr="00AE3367">
        <w:rPr>
          <w:rFonts w:cs="Times New Roman"/>
          <w:sz w:val="28"/>
          <w:szCs w:val="28"/>
        </w:rPr>
        <w:t xml:space="preserve">  </w:t>
      </w:r>
    </w:p>
    <w:p w14:paraId="7F4C8DE8" w14:textId="77777777" w:rsidR="00AC3843" w:rsidRPr="00AE3367" w:rsidRDefault="00AC3843" w:rsidP="00AE3367">
      <w:pPr>
        <w:jc w:val="both"/>
        <w:rPr>
          <w:rFonts w:cs="Times New Roman"/>
          <w:sz w:val="28"/>
          <w:szCs w:val="28"/>
        </w:rPr>
      </w:pPr>
    </w:p>
    <w:p w14:paraId="36ECF46B" w14:textId="77777777" w:rsidR="00AC3843" w:rsidRPr="00AE3367" w:rsidRDefault="00AC3843" w:rsidP="00AE3367">
      <w:pPr>
        <w:jc w:val="both"/>
        <w:rPr>
          <w:rFonts w:cs="Times New Roman"/>
          <w:sz w:val="28"/>
          <w:szCs w:val="28"/>
        </w:rPr>
      </w:pPr>
      <w:r w:rsidRPr="00AE3367">
        <w:rPr>
          <w:rFonts w:cs="Times New Roman"/>
          <w:sz w:val="28"/>
          <w:szCs w:val="28"/>
        </w:rPr>
        <w:t xml:space="preserve">2.3. </w:t>
      </w:r>
      <w:r w:rsidRPr="00AE3367">
        <w:rPr>
          <w:rFonts w:cs="Times New Roman"/>
          <w:i/>
          <w:iCs/>
          <w:sz w:val="28"/>
          <w:szCs w:val="28"/>
        </w:rPr>
        <w:t>Primer escenario</w:t>
      </w:r>
      <w:r w:rsidRPr="00AE3367">
        <w:rPr>
          <w:rFonts w:cs="Times New Roman"/>
          <w:sz w:val="28"/>
          <w:szCs w:val="28"/>
        </w:rPr>
        <w:t>. Como se indicó previamente, el artículo 112 de la Ley 270 de 1996, en desarrollo del artículo 254 de la Constitución Política, establece que corresponde a la Sala Disciplinaria del Consejo Superior de la Judicatura “[d]</w:t>
      </w:r>
      <w:proofErr w:type="spellStart"/>
      <w:r w:rsidRPr="00AE3367">
        <w:rPr>
          <w:rFonts w:cs="Times New Roman"/>
          <w:i/>
          <w:iCs/>
          <w:sz w:val="28"/>
          <w:szCs w:val="28"/>
        </w:rPr>
        <w:t>irimir</w:t>
      </w:r>
      <w:proofErr w:type="spellEnd"/>
      <w:r w:rsidRPr="00AE3367">
        <w:rPr>
          <w:rFonts w:cs="Times New Roman"/>
          <w:i/>
          <w:iCs/>
          <w:sz w:val="28"/>
          <w:szCs w:val="28"/>
        </w:rPr>
        <w:t xml:space="preserve"> los conflictos de competencia que ocurran entre las distintas jurisdicciones, y entre éstas y las autoridades administrativas a las cuales la ley les haya otorgado funciones jurisdiccionales</w:t>
      </w:r>
      <w:r w:rsidRPr="00AE3367">
        <w:rPr>
          <w:rFonts w:cs="Times New Roman"/>
          <w:sz w:val="28"/>
          <w:szCs w:val="28"/>
        </w:rPr>
        <w:t xml:space="preserve">”. Este no es el caso estudiado, pues </w:t>
      </w:r>
      <w:r w:rsidR="00173494" w:rsidRPr="00AE3367">
        <w:rPr>
          <w:rFonts w:cs="Times New Roman"/>
          <w:sz w:val="28"/>
          <w:szCs w:val="28"/>
        </w:rPr>
        <w:t>ha quedado claro que</w:t>
      </w:r>
      <w:r w:rsidRPr="00AE3367">
        <w:rPr>
          <w:rFonts w:cs="Times New Roman"/>
          <w:sz w:val="28"/>
          <w:szCs w:val="28"/>
        </w:rPr>
        <w:t>, de las partes que integran la controversia</w:t>
      </w:r>
      <w:r w:rsidR="00173494" w:rsidRPr="00AE3367">
        <w:rPr>
          <w:rFonts w:cs="Times New Roman"/>
          <w:sz w:val="28"/>
          <w:szCs w:val="28"/>
        </w:rPr>
        <w:t>,</w:t>
      </w:r>
      <w:r w:rsidRPr="00AE3367">
        <w:rPr>
          <w:rFonts w:cs="Times New Roman"/>
          <w:sz w:val="28"/>
          <w:szCs w:val="28"/>
        </w:rPr>
        <w:t xml:space="preserve"> sólo una es de naturaleza jurisdiccional, </w:t>
      </w:r>
      <w:r w:rsidR="00173494" w:rsidRPr="00AE3367">
        <w:rPr>
          <w:rFonts w:cs="Times New Roman"/>
          <w:sz w:val="28"/>
          <w:szCs w:val="28"/>
        </w:rPr>
        <w:t xml:space="preserve">mientras que </w:t>
      </w:r>
      <w:r w:rsidRPr="00AE3367">
        <w:rPr>
          <w:rFonts w:cs="Times New Roman"/>
          <w:sz w:val="28"/>
          <w:szCs w:val="28"/>
        </w:rPr>
        <w:t>la otra es administrativa</w:t>
      </w:r>
      <w:r w:rsidR="00173494" w:rsidRPr="00AE3367">
        <w:rPr>
          <w:rFonts w:cs="Times New Roman"/>
          <w:sz w:val="28"/>
          <w:szCs w:val="28"/>
        </w:rPr>
        <w:t>, autónoma e independiente</w:t>
      </w:r>
      <w:r w:rsidR="009819FA" w:rsidRPr="00AE3367">
        <w:rPr>
          <w:rFonts w:cs="Times New Roman"/>
          <w:sz w:val="28"/>
          <w:szCs w:val="28"/>
        </w:rPr>
        <w:t>.</w:t>
      </w:r>
    </w:p>
    <w:p w14:paraId="3B697F85" w14:textId="77777777" w:rsidR="00AC3843" w:rsidRPr="00AE3367" w:rsidRDefault="00AC3843" w:rsidP="00AE3367">
      <w:pPr>
        <w:jc w:val="both"/>
        <w:rPr>
          <w:rFonts w:cs="Times New Roman"/>
          <w:sz w:val="28"/>
          <w:szCs w:val="28"/>
        </w:rPr>
      </w:pPr>
    </w:p>
    <w:p w14:paraId="594DD234" w14:textId="5C246E8B" w:rsidR="00AC3843" w:rsidRPr="00AE3367" w:rsidRDefault="00AC3843" w:rsidP="00AE3367">
      <w:pPr>
        <w:jc w:val="both"/>
        <w:rPr>
          <w:rFonts w:cs="Times New Roman"/>
          <w:sz w:val="28"/>
          <w:szCs w:val="28"/>
        </w:rPr>
      </w:pPr>
      <w:r w:rsidRPr="00AE3367">
        <w:rPr>
          <w:rFonts w:cs="Times New Roman"/>
          <w:sz w:val="28"/>
          <w:szCs w:val="28"/>
        </w:rPr>
        <w:t xml:space="preserve">2.4. </w:t>
      </w:r>
      <w:r w:rsidRPr="00AE3367">
        <w:rPr>
          <w:rFonts w:cs="Times New Roman"/>
          <w:i/>
          <w:iCs/>
          <w:sz w:val="28"/>
          <w:szCs w:val="28"/>
        </w:rPr>
        <w:t xml:space="preserve">Segundo escenario. </w:t>
      </w:r>
      <w:r w:rsidRPr="00AE3367">
        <w:rPr>
          <w:rFonts w:cs="Times New Roman"/>
          <w:sz w:val="28"/>
          <w:szCs w:val="28"/>
        </w:rPr>
        <w:t>En los términos del artículo 39 del Código de Procedimiento Administrativo y de lo Contencioso Administrativo</w:t>
      </w:r>
      <w:r w:rsidRPr="00AE3367">
        <w:rPr>
          <w:rFonts w:cs="Times New Roman"/>
          <w:sz w:val="28"/>
          <w:szCs w:val="28"/>
          <w:vertAlign w:val="superscript"/>
        </w:rPr>
        <w:footnoteReference w:id="15"/>
      </w:r>
      <w:r w:rsidRPr="00AE3367">
        <w:rPr>
          <w:rFonts w:cs="Times New Roman"/>
          <w:sz w:val="28"/>
          <w:szCs w:val="28"/>
        </w:rPr>
        <w:t xml:space="preserve">, en concordancia con el numeral 10 del artículo 112 del mismo cuerpo normativo, es función de la Sala de Consulta y Servicio Civil del Consejo de Estado decidir acerca de los conflictos de </w:t>
      </w:r>
      <w:r w:rsidR="00A6715A" w:rsidRPr="00AE3367">
        <w:rPr>
          <w:rFonts w:cs="Times New Roman"/>
          <w:sz w:val="28"/>
          <w:szCs w:val="28"/>
        </w:rPr>
        <w:t>“</w:t>
      </w:r>
      <w:r w:rsidRPr="00AE3367">
        <w:rPr>
          <w:rFonts w:cs="Times New Roman"/>
          <w:i/>
          <w:iCs/>
          <w:sz w:val="28"/>
          <w:szCs w:val="28"/>
          <w:u w:val="single"/>
        </w:rPr>
        <w:t>competencias administrativas</w:t>
      </w:r>
      <w:r w:rsidR="00A6715A" w:rsidRPr="00AE3367">
        <w:rPr>
          <w:rFonts w:cs="Times New Roman"/>
          <w:sz w:val="28"/>
          <w:szCs w:val="28"/>
        </w:rPr>
        <w:t>”</w:t>
      </w:r>
      <w:r w:rsidR="00112D6D" w:rsidRPr="00AE3367">
        <w:rPr>
          <w:rFonts w:cs="Times New Roman"/>
          <w:sz w:val="28"/>
          <w:szCs w:val="28"/>
        </w:rPr>
        <w:t>,</w:t>
      </w:r>
      <w:r w:rsidRPr="00AE3367">
        <w:rPr>
          <w:rFonts w:cs="Times New Roman"/>
          <w:sz w:val="28"/>
          <w:szCs w:val="28"/>
        </w:rPr>
        <w:t xml:space="preserve"> que se den “</w:t>
      </w:r>
      <w:r w:rsidRPr="00AE3367">
        <w:rPr>
          <w:rFonts w:cs="Times New Roman"/>
          <w:i/>
          <w:iCs/>
          <w:sz w:val="28"/>
          <w:szCs w:val="28"/>
        </w:rPr>
        <w:t>entre los organismos del orden nacional o entre tales organismos y una entidad territorial o descentralizada, o entre cualquiera de estas cuando no estén comprendidas en la jurisdicción territorial de un solo tribunal administrativo</w:t>
      </w:r>
      <w:r w:rsidRPr="00AE3367">
        <w:rPr>
          <w:rFonts w:cs="Times New Roman"/>
          <w:sz w:val="28"/>
          <w:szCs w:val="28"/>
        </w:rPr>
        <w:t xml:space="preserve">”. </w:t>
      </w:r>
      <w:r w:rsidR="002D26E6" w:rsidRPr="00AE3367">
        <w:rPr>
          <w:rFonts w:cs="Times New Roman"/>
          <w:sz w:val="28"/>
          <w:szCs w:val="28"/>
        </w:rPr>
        <w:t>E</w:t>
      </w:r>
      <w:r w:rsidRPr="00AE3367">
        <w:rPr>
          <w:rFonts w:cs="Times New Roman"/>
          <w:sz w:val="28"/>
          <w:szCs w:val="28"/>
        </w:rPr>
        <w:t>ste tampoco es el caso del expediente de la referencia</w:t>
      </w:r>
      <w:r w:rsidR="00C34B24" w:rsidRPr="00AE3367">
        <w:rPr>
          <w:rFonts w:cs="Times New Roman"/>
          <w:sz w:val="28"/>
          <w:szCs w:val="28"/>
        </w:rPr>
        <w:t xml:space="preserve">. Por un lado, </w:t>
      </w:r>
      <w:r w:rsidR="002D26E6" w:rsidRPr="00AE3367">
        <w:rPr>
          <w:rFonts w:cs="Times New Roman"/>
          <w:sz w:val="28"/>
          <w:szCs w:val="28"/>
        </w:rPr>
        <w:t xml:space="preserve">sólo una de las </w:t>
      </w:r>
      <w:r w:rsidRPr="00AE3367">
        <w:rPr>
          <w:rFonts w:cs="Times New Roman"/>
          <w:sz w:val="28"/>
          <w:szCs w:val="28"/>
        </w:rPr>
        <w:t>dos autoridades en tensión</w:t>
      </w:r>
      <w:r w:rsidR="002D26E6" w:rsidRPr="00AE3367">
        <w:rPr>
          <w:rFonts w:cs="Times New Roman"/>
          <w:sz w:val="28"/>
          <w:szCs w:val="28"/>
        </w:rPr>
        <w:t xml:space="preserve"> es de naturaleza</w:t>
      </w:r>
      <w:r w:rsidRPr="00AE3367">
        <w:rPr>
          <w:rFonts w:cs="Times New Roman"/>
          <w:sz w:val="28"/>
          <w:szCs w:val="28"/>
        </w:rPr>
        <w:t xml:space="preserve"> administrativa</w:t>
      </w:r>
      <w:r w:rsidR="002D26E6" w:rsidRPr="00AE3367">
        <w:rPr>
          <w:rFonts w:cs="Times New Roman"/>
          <w:sz w:val="28"/>
          <w:szCs w:val="28"/>
        </w:rPr>
        <w:t xml:space="preserve"> (autónoma e independiente, como lo es la Procuraduría General de la Nación)</w:t>
      </w:r>
      <w:r w:rsidR="00C34B24" w:rsidRPr="00AE3367">
        <w:rPr>
          <w:rFonts w:cs="Times New Roman"/>
          <w:sz w:val="28"/>
          <w:szCs w:val="28"/>
        </w:rPr>
        <w:t xml:space="preserve">, mientras que la </w:t>
      </w:r>
      <w:r w:rsidR="00BD4286" w:rsidRPr="00AE3367">
        <w:rPr>
          <w:rFonts w:cs="Times New Roman"/>
          <w:sz w:val="28"/>
          <w:szCs w:val="28"/>
        </w:rPr>
        <w:t xml:space="preserve">otra </w:t>
      </w:r>
      <w:r w:rsidR="00C34B24" w:rsidRPr="00AE3367">
        <w:rPr>
          <w:rFonts w:cs="Times New Roman"/>
          <w:sz w:val="28"/>
          <w:szCs w:val="28"/>
        </w:rPr>
        <w:t xml:space="preserve">es jurisdiccional. Por otro lado, sabiendo que la Sala de Consulta y Servicio Civil sólo conoce de conflictos relacionados con competencias de carácter administrativo, no puede perderse de vista que, justamente, la naturaleza jurídica de la competencia que está siendo rechazada (relacionada con el conocimiento de la queja disciplinaria formulada en contra del congresista) es parte de la discusión que ha surgido entre las dos autoridades en tensión. </w:t>
      </w:r>
    </w:p>
    <w:p w14:paraId="1985FA45" w14:textId="77777777" w:rsidR="00C34B24" w:rsidRPr="00AE3367" w:rsidRDefault="00C34B24" w:rsidP="00AE3367">
      <w:pPr>
        <w:jc w:val="both"/>
        <w:rPr>
          <w:rFonts w:cs="Times New Roman"/>
          <w:sz w:val="28"/>
          <w:szCs w:val="28"/>
        </w:rPr>
      </w:pPr>
    </w:p>
    <w:p w14:paraId="43DEF9B0" w14:textId="7CB1BF02" w:rsidR="00AB72D5" w:rsidRPr="00AE3367" w:rsidRDefault="00AC3843" w:rsidP="00AE3367">
      <w:pPr>
        <w:jc w:val="both"/>
        <w:rPr>
          <w:rFonts w:cs="Times New Roman"/>
          <w:sz w:val="28"/>
          <w:szCs w:val="28"/>
        </w:rPr>
      </w:pPr>
      <w:r w:rsidRPr="00AE3367">
        <w:rPr>
          <w:rFonts w:cs="Times New Roman"/>
          <w:sz w:val="28"/>
          <w:szCs w:val="28"/>
        </w:rPr>
        <w:t xml:space="preserve">2.5. </w:t>
      </w:r>
      <w:r w:rsidRPr="00AE3367">
        <w:rPr>
          <w:rFonts w:cs="Times New Roman"/>
          <w:i/>
          <w:iCs/>
          <w:sz w:val="28"/>
          <w:szCs w:val="28"/>
        </w:rPr>
        <w:t>Tercer escenario.</w:t>
      </w:r>
      <w:r w:rsidRPr="00AE3367">
        <w:rPr>
          <w:rFonts w:cs="Times New Roman"/>
          <w:sz w:val="28"/>
          <w:szCs w:val="28"/>
        </w:rPr>
        <w:t xml:space="preserve"> </w:t>
      </w:r>
      <w:r w:rsidR="00AB72D5" w:rsidRPr="00AE3367">
        <w:rPr>
          <w:rFonts w:cs="Times New Roman"/>
          <w:sz w:val="28"/>
          <w:szCs w:val="28"/>
        </w:rPr>
        <w:t xml:space="preserve">Para el momento en que se elevó la queja </w:t>
      </w:r>
      <w:r w:rsidR="00BD4286" w:rsidRPr="00AE3367">
        <w:rPr>
          <w:rFonts w:cs="Times New Roman"/>
          <w:sz w:val="28"/>
          <w:szCs w:val="28"/>
        </w:rPr>
        <w:t xml:space="preserve">referente al </w:t>
      </w:r>
      <w:r w:rsidR="00AB72D5" w:rsidRPr="00AE3367">
        <w:rPr>
          <w:rFonts w:cs="Times New Roman"/>
          <w:sz w:val="28"/>
          <w:szCs w:val="28"/>
        </w:rPr>
        <w:t>caso objeto de pronunciamiento, los trámites disciplinarios adelantados en contra de los y las congresistas estaban sujetos, desde el punto de vista legal, principalmente a la Ley 5ª de 1992</w:t>
      </w:r>
      <w:r w:rsidR="00AB72D5" w:rsidRPr="00AE3367">
        <w:rPr>
          <w:rStyle w:val="Refdenotaalpie"/>
          <w:sz w:val="28"/>
          <w:szCs w:val="28"/>
        </w:rPr>
        <w:footnoteReference w:id="16"/>
      </w:r>
      <w:r w:rsidR="00AB72D5" w:rsidRPr="00AE3367">
        <w:rPr>
          <w:rFonts w:cs="Times New Roman"/>
          <w:sz w:val="28"/>
          <w:szCs w:val="28"/>
        </w:rPr>
        <w:t xml:space="preserve"> y al Decreto 262 de 2000</w:t>
      </w:r>
      <w:r w:rsidR="00AB72D5" w:rsidRPr="00AE3367">
        <w:rPr>
          <w:rStyle w:val="Refdenotaalpie"/>
          <w:sz w:val="28"/>
          <w:szCs w:val="28"/>
        </w:rPr>
        <w:footnoteReference w:id="17"/>
      </w:r>
      <w:r w:rsidR="00AB72D5" w:rsidRPr="00AE3367">
        <w:rPr>
          <w:rFonts w:cs="Times New Roman"/>
          <w:sz w:val="28"/>
          <w:szCs w:val="28"/>
        </w:rPr>
        <w:t>. Según el artículo 266 de la primera legislación, “[e]</w:t>
      </w:r>
      <w:r w:rsidR="00AB72D5" w:rsidRPr="00AE3367">
        <w:rPr>
          <w:rFonts w:cs="Times New Roman"/>
          <w:i/>
          <w:iCs/>
          <w:sz w:val="28"/>
          <w:szCs w:val="28"/>
        </w:rPr>
        <w:t xml:space="preserve">n cumplimiento de lo dispuesto en </w:t>
      </w:r>
      <w:r w:rsidR="00AB72D5" w:rsidRPr="00AE3367">
        <w:rPr>
          <w:rFonts w:cs="Times New Roman"/>
          <w:i/>
          <w:iCs/>
          <w:sz w:val="28"/>
          <w:szCs w:val="28"/>
        </w:rPr>
        <w:lastRenderedPageBreak/>
        <w:t>los artículos 118 y 277 numeral 6, constitucional, el Procurador General de la Nación podrá ejercer la vigilancia superior de la conducta oficial de los Senadores y Representantes</w:t>
      </w:r>
      <w:r w:rsidR="00AB72D5" w:rsidRPr="00AE3367">
        <w:rPr>
          <w:rFonts w:cs="Times New Roman"/>
          <w:sz w:val="28"/>
          <w:szCs w:val="28"/>
        </w:rPr>
        <w:t>”. La norma original establecía que esa facultad correspondía, de forma exclusiva, al director del Ministerio Público. Sin embargo, la Corte, en la Sentencia C-025 de 1993</w:t>
      </w:r>
      <w:r w:rsidR="00AB72D5" w:rsidRPr="00AE3367">
        <w:rPr>
          <w:rStyle w:val="Refdenotaalpie"/>
          <w:sz w:val="28"/>
          <w:szCs w:val="28"/>
        </w:rPr>
        <w:footnoteReference w:id="18"/>
      </w:r>
      <w:r w:rsidR="00AB72D5" w:rsidRPr="00AE3367">
        <w:rPr>
          <w:rFonts w:cs="Times New Roman"/>
          <w:sz w:val="28"/>
          <w:szCs w:val="28"/>
        </w:rPr>
        <w:t>, advirtió que “</w:t>
      </w:r>
      <w:r w:rsidR="00AB72D5" w:rsidRPr="00AE3367">
        <w:rPr>
          <w:rFonts w:cs="Times New Roman"/>
          <w:i/>
          <w:iCs/>
          <w:sz w:val="28"/>
          <w:szCs w:val="28"/>
        </w:rPr>
        <w:t>n</w:t>
      </w:r>
      <w:r w:rsidR="00AB72D5" w:rsidRPr="00AE3367">
        <w:rPr>
          <w:rFonts w:cs="Times New Roman"/>
          <w:i/>
          <w:iCs/>
          <w:sz w:val="28"/>
          <w:szCs w:val="28"/>
          <w:lang w:val="es-CO"/>
        </w:rPr>
        <w:t>o se desprende del texto del artículo 277-6 de la Constitución Política que la vigilancia superior de la conducta oficial que compete ejercer al Procurador General de la Nación sobre los funcionarios de elección popular, sea la única manifestación estatal de vigilancia y control que en su caso pueda ejercitarse</w:t>
      </w:r>
      <w:r w:rsidR="00AB72D5" w:rsidRPr="00AE3367">
        <w:rPr>
          <w:rFonts w:cs="Times New Roman"/>
          <w:sz w:val="28"/>
          <w:szCs w:val="28"/>
        </w:rPr>
        <w:t>”. En desarrollo de este marco normativo, el numeral 21 del artículo 7º del Decreto 262 de 2000, derogado por la Ley 1952 de 2019</w:t>
      </w:r>
      <w:r w:rsidR="00AB72D5" w:rsidRPr="00AE3367">
        <w:rPr>
          <w:rStyle w:val="Refdenotaalpie"/>
          <w:sz w:val="28"/>
          <w:szCs w:val="28"/>
        </w:rPr>
        <w:footnoteReference w:id="19"/>
      </w:r>
      <w:r w:rsidR="00AB72D5" w:rsidRPr="00AE3367">
        <w:rPr>
          <w:rFonts w:cs="Times New Roman"/>
          <w:sz w:val="28"/>
          <w:szCs w:val="28"/>
        </w:rPr>
        <w:t>, otorgaba al Procurador General de la Nación la función de “[c]</w:t>
      </w:r>
      <w:proofErr w:type="spellStart"/>
      <w:r w:rsidR="00AB72D5" w:rsidRPr="00AE3367">
        <w:rPr>
          <w:rFonts w:cs="Times New Roman"/>
          <w:i/>
          <w:iCs/>
          <w:sz w:val="28"/>
          <w:szCs w:val="28"/>
        </w:rPr>
        <w:t>onocer</w:t>
      </w:r>
      <w:proofErr w:type="spellEnd"/>
      <w:r w:rsidR="00AB72D5" w:rsidRPr="00AE3367">
        <w:rPr>
          <w:rFonts w:cs="Times New Roman"/>
          <w:i/>
          <w:iCs/>
          <w:sz w:val="28"/>
          <w:szCs w:val="28"/>
        </w:rPr>
        <w:t xml:space="preserve"> en única instancia los procesos disciplinarios que se adelanten contra los congresistas, por faltas cometidas con anterioridad a la adquisición de dicha calidad o durante su ejercicio, en este último caso aunque hayan dejado de ser congresistas</w:t>
      </w:r>
      <w:r w:rsidR="00AB72D5" w:rsidRPr="00AE3367">
        <w:rPr>
          <w:rFonts w:cs="Times New Roman"/>
          <w:sz w:val="28"/>
          <w:szCs w:val="28"/>
        </w:rPr>
        <w:t xml:space="preserve">”. En </w:t>
      </w:r>
      <w:r w:rsidR="00112D6D" w:rsidRPr="00AE3367">
        <w:rPr>
          <w:rFonts w:cs="Times New Roman"/>
          <w:sz w:val="28"/>
          <w:szCs w:val="28"/>
        </w:rPr>
        <w:t>este contexto</w:t>
      </w:r>
      <w:r w:rsidR="00AB72D5" w:rsidRPr="00AE3367">
        <w:rPr>
          <w:rFonts w:cs="Times New Roman"/>
          <w:sz w:val="28"/>
          <w:szCs w:val="28"/>
        </w:rPr>
        <w:t xml:space="preserve">, dado que, en principio, no habría razones para que </w:t>
      </w:r>
      <w:r w:rsidR="00C34B24" w:rsidRPr="00AE3367">
        <w:rPr>
          <w:rFonts w:cs="Times New Roman"/>
          <w:sz w:val="28"/>
          <w:szCs w:val="28"/>
        </w:rPr>
        <w:t>surgieran conflictos de competencia relacionados con la vigilancia disciplinaria de los miembros del Congreso de la República, la legislación no estableció</w:t>
      </w:r>
      <w:r w:rsidR="00AB72D5" w:rsidRPr="00AE3367">
        <w:rPr>
          <w:rFonts w:cs="Times New Roman"/>
          <w:sz w:val="28"/>
          <w:szCs w:val="28"/>
        </w:rPr>
        <w:t xml:space="preserve"> regla expresa que definiera el curso que </w:t>
      </w:r>
      <w:r w:rsidR="00C34B24" w:rsidRPr="00AE3367">
        <w:rPr>
          <w:rFonts w:cs="Times New Roman"/>
          <w:sz w:val="28"/>
          <w:szCs w:val="28"/>
        </w:rPr>
        <w:t>éstos deberían seguir.</w:t>
      </w:r>
    </w:p>
    <w:p w14:paraId="5C1DBFDC" w14:textId="77777777" w:rsidR="00C34B24" w:rsidRPr="00AE3367" w:rsidRDefault="00C34B24" w:rsidP="00AE3367">
      <w:pPr>
        <w:jc w:val="both"/>
        <w:rPr>
          <w:rFonts w:cs="Times New Roman"/>
          <w:sz w:val="28"/>
          <w:szCs w:val="28"/>
        </w:rPr>
      </w:pPr>
    </w:p>
    <w:p w14:paraId="7C563C7A" w14:textId="07B753A1" w:rsidR="00AB72D5" w:rsidRPr="00AE3367" w:rsidRDefault="00112D6D" w:rsidP="00AE3367">
      <w:pPr>
        <w:jc w:val="both"/>
        <w:rPr>
          <w:rFonts w:cs="Times New Roman"/>
          <w:sz w:val="28"/>
          <w:szCs w:val="28"/>
        </w:rPr>
      </w:pPr>
      <w:r w:rsidRPr="00AE3367">
        <w:rPr>
          <w:rFonts w:cs="Times New Roman"/>
          <w:sz w:val="28"/>
          <w:szCs w:val="28"/>
        </w:rPr>
        <w:t xml:space="preserve">La descripción normativa de este tercer escenario está planteada en términos abstractos, independientemente de la célula </w:t>
      </w:r>
      <w:proofErr w:type="spellStart"/>
      <w:r w:rsidRPr="00AE3367">
        <w:rPr>
          <w:rFonts w:cs="Times New Roman"/>
          <w:sz w:val="28"/>
          <w:szCs w:val="28"/>
        </w:rPr>
        <w:t>congresional</w:t>
      </w:r>
      <w:proofErr w:type="spellEnd"/>
      <w:r w:rsidRPr="00AE3367">
        <w:rPr>
          <w:rFonts w:cs="Times New Roman"/>
          <w:sz w:val="28"/>
          <w:szCs w:val="28"/>
        </w:rPr>
        <w:t xml:space="preserve"> a la cual </w:t>
      </w:r>
      <w:r w:rsidR="00BD4286" w:rsidRPr="00AE3367">
        <w:rPr>
          <w:rFonts w:cs="Times New Roman"/>
          <w:sz w:val="28"/>
          <w:szCs w:val="28"/>
        </w:rPr>
        <w:t xml:space="preserve">pertenezca </w:t>
      </w:r>
      <w:r w:rsidRPr="00AE3367">
        <w:rPr>
          <w:rFonts w:cs="Times New Roman"/>
          <w:sz w:val="28"/>
          <w:szCs w:val="28"/>
        </w:rPr>
        <w:t xml:space="preserve">el congresista </w:t>
      </w:r>
      <w:r w:rsidR="00AB6B99" w:rsidRPr="00AE3367">
        <w:rPr>
          <w:rFonts w:cs="Times New Roman"/>
          <w:sz w:val="28"/>
          <w:szCs w:val="28"/>
        </w:rPr>
        <w:t>disciplinable</w:t>
      </w:r>
      <w:r w:rsidRPr="00AE3367">
        <w:rPr>
          <w:rFonts w:cs="Times New Roman"/>
          <w:sz w:val="28"/>
          <w:szCs w:val="28"/>
        </w:rPr>
        <w:t xml:space="preserve">. Bajo esta advertencia, </w:t>
      </w:r>
      <w:r w:rsidR="00AB72D5" w:rsidRPr="00AE3367">
        <w:rPr>
          <w:rFonts w:cs="Times New Roman"/>
          <w:sz w:val="28"/>
          <w:szCs w:val="28"/>
        </w:rPr>
        <w:t>no puede perderse de vista que la discusión competencial del asunto que</w:t>
      </w:r>
      <w:r w:rsidR="00AB6B99" w:rsidRPr="00AE3367">
        <w:rPr>
          <w:rFonts w:cs="Times New Roman"/>
          <w:sz w:val="28"/>
          <w:szCs w:val="28"/>
        </w:rPr>
        <w:t xml:space="preserve"> ahora</w:t>
      </w:r>
      <w:r w:rsidR="00AB72D5" w:rsidRPr="00AE3367">
        <w:rPr>
          <w:rFonts w:cs="Times New Roman"/>
          <w:sz w:val="28"/>
          <w:szCs w:val="28"/>
        </w:rPr>
        <w:t xml:space="preserve"> ocupa la atención de la Sala</w:t>
      </w:r>
      <w:r w:rsidR="00AB6B99" w:rsidRPr="00AE3367">
        <w:rPr>
          <w:rFonts w:cs="Times New Roman"/>
          <w:sz w:val="28"/>
          <w:szCs w:val="28"/>
        </w:rPr>
        <w:t xml:space="preserve">, en el fondo, </w:t>
      </w:r>
      <w:r w:rsidR="00AB72D5" w:rsidRPr="00AE3367">
        <w:rPr>
          <w:rFonts w:cs="Times New Roman"/>
          <w:sz w:val="28"/>
          <w:szCs w:val="28"/>
        </w:rPr>
        <w:t>está relacionad</w:t>
      </w:r>
      <w:r w:rsidR="00587171" w:rsidRPr="00AE3367">
        <w:rPr>
          <w:rFonts w:cs="Times New Roman"/>
          <w:sz w:val="28"/>
          <w:szCs w:val="28"/>
        </w:rPr>
        <w:t>a</w:t>
      </w:r>
      <w:r w:rsidR="00AB72D5" w:rsidRPr="00AE3367">
        <w:rPr>
          <w:rFonts w:cs="Times New Roman"/>
          <w:sz w:val="28"/>
          <w:szCs w:val="28"/>
        </w:rPr>
        <w:t xml:space="preserve"> con definir la autoridad que debería conocer de la queja disciplinaria</w:t>
      </w:r>
      <w:r w:rsidR="00AB6B99" w:rsidRPr="00AE3367">
        <w:rPr>
          <w:rFonts w:cs="Times New Roman"/>
          <w:sz w:val="28"/>
          <w:szCs w:val="28"/>
        </w:rPr>
        <w:t>,</w:t>
      </w:r>
      <w:r w:rsidR="00AB72D5" w:rsidRPr="00AE3367">
        <w:rPr>
          <w:rFonts w:cs="Times New Roman"/>
          <w:sz w:val="28"/>
          <w:szCs w:val="28"/>
        </w:rPr>
        <w:t xml:space="preserve"> promovida en contra del congresista Bedoya </w:t>
      </w:r>
      <w:proofErr w:type="spellStart"/>
      <w:r w:rsidR="00AB72D5" w:rsidRPr="00AE3367">
        <w:rPr>
          <w:rFonts w:cs="Times New Roman"/>
          <w:sz w:val="28"/>
          <w:szCs w:val="28"/>
        </w:rPr>
        <w:t>Pulgarín</w:t>
      </w:r>
      <w:proofErr w:type="spellEnd"/>
      <w:r w:rsidR="00AB72D5" w:rsidRPr="00AE3367">
        <w:rPr>
          <w:rFonts w:cs="Times New Roman"/>
          <w:sz w:val="28"/>
          <w:szCs w:val="28"/>
        </w:rPr>
        <w:t xml:space="preserve">, </w:t>
      </w:r>
      <w:r w:rsidR="00AB72D5" w:rsidRPr="00AE3367">
        <w:rPr>
          <w:rFonts w:cs="Times New Roman"/>
          <w:sz w:val="28"/>
          <w:szCs w:val="28"/>
          <w:u w:val="single"/>
        </w:rPr>
        <w:t>vinculada</w:t>
      </w:r>
      <w:r w:rsidR="009819FA" w:rsidRPr="00AE3367">
        <w:rPr>
          <w:rFonts w:cs="Times New Roman"/>
          <w:sz w:val="28"/>
          <w:szCs w:val="28"/>
          <w:u w:val="single"/>
        </w:rPr>
        <w:t xml:space="preserve"> </w:t>
      </w:r>
      <w:r w:rsidR="00AB72D5" w:rsidRPr="00AE3367">
        <w:rPr>
          <w:rFonts w:cs="Times New Roman"/>
          <w:sz w:val="28"/>
          <w:szCs w:val="28"/>
          <w:u w:val="single"/>
        </w:rPr>
        <w:t>con el ejercicio de su función como miembro de la Comisión de Investigación y Acusación de la Cámara de Representantes</w:t>
      </w:r>
      <w:r w:rsidR="00236398" w:rsidRPr="00AE3367">
        <w:rPr>
          <w:rFonts w:cs="Times New Roman"/>
          <w:sz w:val="28"/>
          <w:szCs w:val="28"/>
        </w:rPr>
        <w:t>.</w:t>
      </w:r>
      <w:r w:rsidR="00AB6B99" w:rsidRPr="00AE3367">
        <w:rPr>
          <w:rFonts w:cs="Times New Roman"/>
          <w:sz w:val="28"/>
          <w:szCs w:val="28"/>
        </w:rPr>
        <w:t xml:space="preserve"> No obstante, e</w:t>
      </w:r>
      <w:r w:rsidR="00236398" w:rsidRPr="00AE3367">
        <w:rPr>
          <w:rFonts w:cs="Times New Roman"/>
          <w:sz w:val="28"/>
          <w:szCs w:val="28"/>
        </w:rPr>
        <w:t>stablecer la</w:t>
      </w:r>
      <w:r w:rsidR="00AB72D5" w:rsidRPr="00AE3367">
        <w:rPr>
          <w:rFonts w:cs="Times New Roman"/>
          <w:sz w:val="28"/>
          <w:szCs w:val="28"/>
        </w:rPr>
        <w:t xml:space="preserve"> trascendencia que </w:t>
      </w:r>
      <w:r w:rsidR="00AB6B99" w:rsidRPr="00AE3367">
        <w:rPr>
          <w:rFonts w:cs="Times New Roman"/>
          <w:sz w:val="28"/>
          <w:szCs w:val="28"/>
        </w:rPr>
        <w:t>la sola pertenencia a dicha</w:t>
      </w:r>
      <w:r w:rsidR="00236398" w:rsidRPr="00AE3367">
        <w:rPr>
          <w:rFonts w:cs="Times New Roman"/>
          <w:sz w:val="28"/>
          <w:szCs w:val="28"/>
        </w:rPr>
        <w:t xml:space="preserve"> </w:t>
      </w:r>
      <w:r w:rsidR="00AB6B99" w:rsidRPr="00AE3367">
        <w:rPr>
          <w:rFonts w:cs="Times New Roman"/>
          <w:sz w:val="28"/>
          <w:szCs w:val="28"/>
        </w:rPr>
        <w:t>Comisión</w:t>
      </w:r>
      <w:r w:rsidR="00AB72D5" w:rsidRPr="00AE3367">
        <w:rPr>
          <w:rFonts w:cs="Times New Roman"/>
          <w:sz w:val="28"/>
          <w:szCs w:val="28"/>
        </w:rPr>
        <w:t xml:space="preserve"> </w:t>
      </w:r>
      <w:r w:rsidR="009819FA" w:rsidRPr="00AE3367">
        <w:rPr>
          <w:rFonts w:cs="Times New Roman"/>
          <w:sz w:val="28"/>
          <w:szCs w:val="28"/>
        </w:rPr>
        <w:t>tendría</w:t>
      </w:r>
      <w:r w:rsidR="00AB72D5" w:rsidRPr="00AE3367">
        <w:rPr>
          <w:rFonts w:cs="Times New Roman"/>
          <w:sz w:val="28"/>
          <w:szCs w:val="28"/>
        </w:rPr>
        <w:t xml:space="preserve"> para </w:t>
      </w:r>
      <w:r w:rsidR="00D93EC8" w:rsidRPr="00AE3367">
        <w:rPr>
          <w:rFonts w:cs="Times New Roman"/>
          <w:sz w:val="28"/>
          <w:szCs w:val="28"/>
        </w:rPr>
        <w:t>determinar</w:t>
      </w:r>
      <w:r w:rsidR="00AB72D5" w:rsidRPr="00AE3367">
        <w:rPr>
          <w:rFonts w:cs="Times New Roman"/>
          <w:sz w:val="28"/>
          <w:szCs w:val="28"/>
        </w:rPr>
        <w:t xml:space="preserve"> de la autoridad competente</w:t>
      </w:r>
      <w:r w:rsidR="00AB6B99" w:rsidRPr="00AE3367">
        <w:rPr>
          <w:rFonts w:cs="Times New Roman"/>
          <w:sz w:val="28"/>
          <w:szCs w:val="28"/>
        </w:rPr>
        <w:t xml:space="preserve"> para conocer de la queja</w:t>
      </w:r>
      <w:r w:rsidR="00AB72D5" w:rsidRPr="00AE3367">
        <w:rPr>
          <w:rFonts w:cs="Times New Roman"/>
          <w:sz w:val="28"/>
          <w:szCs w:val="28"/>
        </w:rPr>
        <w:t xml:space="preserve"> es una labor que tampoco le corresponde a esta Corporación, dada la imposibilidad jurídica que ha sido </w:t>
      </w:r>
      <w:r w:rsidR="00BD4286" w:rsidRPr="00AE3367">
        <w:rPr>
          <w:rFonts w:cs="Times New Roman"/>
          <w:sz w:val="28"/>
          <w:szCs w:val="28"/>
        </w:rPr>
        <w:t xml:space="preserve">explicada </w:t>
      </w:r>
      <w:r w:rsidR="00AB72D5" w:rsidRPr="00AE3367">
        <w:rPr>
          <w:rFonts w:cs="Times New Roman"/>
          <w:sz w:val="28"/>
          <w:szCs w:val="28"/>
        </w:rPr>
        <w:t xml:space="preserve">en el primer capítulo considerativo de esta providencia. </w:t>
      </w:r>
    </w:p>
    <w:p w14:paraId="135B0132" w14:textId="77777777" w:rsidR="00AB72D5" w:rsidRPr="00AE3367" w:rsidRDefault="00AB72D5" w:rsidP="00AE3367">
      <w:pPr>
        <w:jc w:val="both"/>
        <w:rPr>
          <w:rFonts w:cs="Times New Roman"/>
          <w:sz w:val="28"/>
          <w:szCs w:val="28"/>
        </w:rPr>
      </w:pPr>
    </w:p>
    <w:p w14:paraId="25498BCB" w14:textId="77777777" w:rsidR="00AC3843" w:rsidRPr="00AE3367" w:rsidRDefault="009819FA" w:rsidP="00AE3367">
      <w:pPr>
        <w:jc w:val="both"/>
        <w:rPr>
          <w:rFonts w:cs="Times New Roman"/>
          <w:sz w:val="28"/>
          <w:szCs w:val="28"/>
        </w:rPr>
      </w:pPr>
      <w:r w:rsidRPr="00AE3367">
        <w:rPr>
          <w:rFonts w:cs="Times New Roman"/>
          <w:sz w:val="28"/>
          <w:szCs w:val="28"/>
        </w:rPr>
        <w:t>2.</w:t>
      </w:r>
      <w:r w:rsidR="00F76B9A" w:rsidRPr="00AE3367">
        <w:rPr>
          <w:rFonts w:cs="Times New Roman"/>
          <w:sz w:val="28"/>
          <w:szCs w:val="28"/>
        </w:rPr>
        <w:t>6</w:t>
      </w:r>
      <w:r w:rsidRPr="00AE3367">
        <w:rPr>
          <w:rFonts w:cs="Times New Roman"/>
          <w:sz w:val="28"/>
          <w:szCs w:val="28"/>
        </w:rPr>
        <w:t xml:space="preserve">. </w:t>
      </w:r>
      <w:r w:rsidRPr="00AE3367">
        <w:rPr>
          <w:rFonts w:cs="Times New Roman"/>
          <w:i/>
          <w:iCs/>
          <w:sz w:val="28"/>
          <w:szCs w:val="28"/>
        </w:rPr>
        <w:t>Cuarto escenario</w:t>
      </w:r>
      <w:r w:rsidRPr="00AE3367">
        <w:rPr>
          <w:rFonts w:cs="Times New Roman"/>
          <w:sz w:val="28"/>
          <w:szCs w:val="28"/>
        </w:rPr>
        <w:t xml:space="preserve">. </w:t>
      </w:r>
      <w:r w:rsidR="00AC3843" w:rsidRPr="00AE3367">
        <w:rPr>
          <w:rFonts w:cs="Times New Roman"/>
          <w:sz w:val="28"/>
          <w:szCs w:val="28"/>
        </w:rPr>
        <w:t>La Ley 1828 de 2017</w:t>
      </w:r>
      <w:r w:rsidR="00AC3843" w:rsidRPr="00AE3367">
        <w:rPr>
          <w:rFonts w:cs="Times New Roman"/>
          <w:sz w:val="28"/>
          <w:szCs w:val="28"/>
          <w:vertAlign w:val="superscript"/>
        </w:rPr>
        <w:footnoteReference w:id="20"/>
      </w:r>
      <w:r w:rsidR="00AC3843" w:rsidRPr="00AE3367">
        <w:rPr>
          <w:rFonts w:cs="Times New Roman"/>
          <w:sz w:val="28"/>
          <w:szCs w:val="28"/>
        </w:rPr>
        <w:t xml:space="preserve"> </w:t>
      </w:r>
      <w:r w:rsidR="00587171" w:rsidRPr="00AE3367">
        <w:rPr>
          <w:rFonts w:cs="Times New Roman"/>
          <w:sz w:val="28"/>
          <w:szCs w:val="28"/>
        </w:rPr>
        <w:t>dispuso</w:t>
      </w:r>
      <w:r w:rsidR="00AC3843" w:rsidRPr="00AE3367">
        <w:rPr>
          <w:rFonts w:cs="Times New Roman"/>
          <w:sz w:val="28"/>
          <w:szCs w:val="28"/>
        </w:rPr>
        <w:t>, en el artículo 72, que</w:t>
      </w:r>
      <w:r w:rsidR="00D93EC8" w:rsidRPr="00AE3367">
        <w:rPr>
          <w:rFonts w:cs="Times New Roman"/>
          <w:sz w:val="28"/>
          <w:szCs w:val="28"/>
        </w:rPr>
        <w:t xml:space="preserve"> </w:t>
      </w:r>
      <w:r w:rsidR="00AC3843" w:rsidRPr="00AE3367">
        <w:rPr>
          <w:rFonts w:cs="Times New Roman"/>
          <w:sz w:val="28"/>
          <w:szCs w:val="28"/>
        </w:rPr>
        <w:t xml:space="preserve">la Comisión de Ética y Estatuto del Congresista </w:t>
      </w:r>
      <w:r w:rsidR="00D93EC8" w:rsidRPr="00AE3367">
        <w:rPr>
          <w:rFonts w:cs="Times New Roman"/>
          <w:sz w:val="28"/>
          <w:szCs w:val="28"/>
        </w:rPr>
        <w:t>está encargada de conocer</w:t>
      </w:r>
      <w:r w:rsidR="00AC3843" w:rsidRPr="00AE3367">
        <w:rPr>
          <w:rFonts w:cs="Times New Roman"/>
          <w:sz w:val="28"/>
          <w:szCs w:val="28"/>
        </w:rPr>
        <w:t>, entre otras materias, “</w:t>
      </w:r>
      <w:r w:rsidR="00AC3843" w:rsidRPr="00AE3367">
        <w:rPr>
          <w:rFonts w:cs="Times New Roman"/>
          <w:i/>
          <w:iCs/>
          <w:sz w:val="28"/>
          <w:szCs w:val="28"/>
        </w:rPr>
        <w:t>del comportamiento indecoroso, irregular o inmoral que pueda afectar a alguno de los miembros de las Cámaras en su gestión pública, de conformidad con el Código de Ética y Disciplinario expedido por el Congreso</w:t>
      </w:r>
      <w:r w:rsidR="00AC3843" w:rsidRPr="00AE3367">
        <w:rPr>
          <w:rFonts w:cs="Times New Roman"/>
          <w:sz w:val="28"/>
          <w:szCs w:val="28"/>
        </w:rPr>
        <w:t xml:space="preserve">”. Con todo, previamente el cuarto inciso del artículo 3º </w:t>
      </w:r>
      <w:r w:rsidR="00D93EC8" w:rsidRPr="00AE3367">
        <w:rPr>
          <w:rFonts w:cs="Times New Roman"/>
          <w:sz w:val="28"/>
          <w:szCs w:val="28"/>
        </w:rPr>
        <w:t>señaló</w:t>
      </w:r>
      <w:r w:rsidR="00AC3843" w:rsidRPr="00AE3367">
        <w:rPr>
          <w:rFonts w:cs="Times New Roman"/>
          <w:sz w:val="28"/>
          <w:szCs w:val="28"/>
        </w:rPr>
        <w:t xml:space="preserve"> que “[l]</w:t>
      </w:r>
      <w:r w:rsidR="00AC3843" w:rsidRPr="00AE3367">
        <w:rPr>
          <w:rFonts w:cs="Times New Roman"/>
          <w:i/>
          <w:iCs/>
          <w:sz w:val="28"/>
          <w:szCs w:val="28"/>
        </w:rPr>
        <w:t xml:space="preserve">a Procuraduría General de la Nación conocerá de los actos o conductas no previstas en esta normativa que en condición de servidores públicos realicen los congresistas contraviniendo la Constitución, la ley, el </w:t>
      </w:r>
      <w:r w:rsidR="00AC3843" w:rsidRPr="00AE3367">
        <w:rPr>
          <w:rFonts w:cs="Times New Roman"/>
          <w:i/>
          <w:iCs/>
          <w:sz w:val="28"/>
          <w:szCs w:val="28"/>
        </w:rPr>
        <w:lastRenderedPageBreak/>
        <w:t>bien común o la dignidad que representen</w:t>
      </w:r>
      <w:r w:rsidR="00AC3843" w:rsidRPr="00AE3367">
        <w:rPr>
          <w:rFonts w:cs="Times New Roman"/>
          <w:sz w:val="28"/>
          <w:szCs w:val="28"/>
        </w:rPr>
        <w:t xml:space="preserve">”. </w:t>
      </w:r>
      <w:r w:rsidR="00587171" w:rsidRPr="00AE3367">
        <w:rPr>
          <w:rFonts w:cs="Times New Roman"/>
          <w:sz w:val="28"/>
          <w:szCs w:val="28"/>
        </w:rPr>
        <w:t>En</w:t>
      </w:r>
      <w:r w:rsidR="00AC3843" w:rsidRPr="00AE3367">
        <w:rPr>
          <w:rFonts w:cs="Times New Roman"/>
          <w:sz w:val="28"/>
          <w:szCs w:val="28"/>
        </w:rPr>
        <w:t xml:space="preserve"> el artículo 23</w:t>
      </w:r>
      <w:r w:rsidR="00587171" w:rsidRPr="00AE3367">
        <w:rPr>
          <w:rFonts w:cs="Times New Roman"/>
          <w:sz w:val="28"/>
          <w:szCs w:val="28"/>
        </w:rPr>
        <w:t>, la Ley citada estableció que, “[p]</w:t>
      </w:r>
      <w:proofErr w:type="spellStart"/>
      <w:r w:rsidR="00587171" w:rsidRPr="00AE3367">
        <w:rPr>
          <w:rFonts w:cs="Times New Roman"/>
          <w:i/>
          <w:iCs/>
          <w:sz w:val="28"/>
          <w:szCs w:val="28"/>
        </w:rPr>
        <w:t>lanteado</w:t>
      </w:r>
      <w:proofErr w:type="spellEnd"/>
      <w:r w:rsidR="00587171" w:rsidRPr="00AE3367">
        <w:rPr>
          <w:rFonts w:cs="Times New Roman"/>
          <w:i/>
          <w:iCs/>
          <w:sz w:val="28"/>
          <w:szCs w:val="28"/>
        </w:rPr>
        <w:t xml:space="preserve"> el conflicto con la Procuraduría General de la Nación, </w:t>
      </w:r>
      <w:r w:rsidR="00587171" w:rsidRPr="00AE3367">
        <w:rPr>
          <w:rFonts w:cs="Times New Roman"/>
          <w:i/>
          <w:iCs/>
          <w:sz w:val="28"/>
          <w:szCs w:val="28"/>
          <w:u w:val="single"/>
        </w:rPr>
        <w:t>de manera inmediata se remitirá la actuación al organismo que se estima competente; si este insiste en no tener competencia, inmediatamente remitirá las diligencias a la Sala Penal de la Corte Suprema de Justicia</w:t>
      </w:r>
      <w:r w:rsidR="00587171" w:rsidRPr="00AE3367">
        <w:rPr>
          <w:rFonts w:cs="Times New Roman"/>
          <w:i/>
          <w:iCs/>
          <w:sz w:val="28"/>
          <w:szCs w:val="28"/>
        </w:rPr>
        <w:t xml:space="preserve"> para que lo dirima conforme su reglamento en el término de diez (10) días. Contra esta decisión no precede recurso alguno</w:t>
      </w:r>
      <w:r w:rsidR="00587171" w:rsidRPr="00AE3367">
        <w:rPr>
          <w:rFonts w:cs="Times New Roman"/>
          <w:sz w:val="28"/>
          <w:szCs w:val="28"/>
        </w:rPr>
        <w:t>”</w:t>
      </w:r>
      <w:r w:rsidR="00AC3843" w:rsidRPr="00AE3367">
        <w:rPr>
          <w:rFonts w:cs="Times New Roman"/>
          <w:sz w:val="28"/>
          <w:szCs w:val="28"/>
        </w:rPr>
        <w:t>.</w:t>
      </w:r>
    </w:p>
    <w:p w14:paraId="1184C02B" w14:textId="77777777" w:rsidR="00D93EC8" w:rsidRPr="00AE3367" w:rsidRDefault="00D93EC8" w:rsidP="00AE3367">
      <w:pPr>
        <w:jc w:val="both"/>
        <w:rPr>
          <w:rFonts w:cs="Times New Roman"/>
          <w:sz w:val="28"/>
          <w:szCs w:val="28"/>
        </w:rPr>
      </w:pPr>
    </w:p>
    <w:p w14:paraId="2CCCE7CC" w14:textId="4D0DB4F8" w:rsidR="00C541AA" w:rsidRPr="00AE3367" w:rsidRDefault="00236398" w:rsidP="00AE3367">
      <w:pPr>
        <w:jc w:val="both"/>
        <w:rPr>
          <w:rFonts w:cs="Times New Roman"/>
          <w:sz w:val="28"/>
          <w:szCs w:val="28"/>
        </w:rPr>
      </w:pPr>
      <w:r w:rsidRPr="00AE3367">
        <w:rPr>
          <w:rFonts w:cs="Times New Roman"/>
          <w:sz w:val="28"/>
          <w:szCs w:val="28"/>
        </w:rPr>
        <w:t xml:space="preserve">2.7. </w:t>
      </w:r>
      <w:r w:rsidR="00BD4286" w:rsidRPr="00AE3367">
        <w:rPr>
          <w:rFonts w:cs="Times New Roman"/>
          <w:sz w:val="28"/>
          <w:szCs w:val="28"/>
        </w:rPr>
        <w:t>E</w:t>
      </w:r>
      <w:r w:rsidRPr="00AE3367">
        <w:rPr>
          <w:rFonts w:cs="Times New Roman"/>
          <w:sz w:val="28"/>
          <w:szCs w:val="28"/>
        </w:rPr>
        <w:t xml:space="preserve">ste recuento normativo, </w:t>
      </w:r>
      <w:r w:rsidR="003F6B3D" w:rsidRPr="00AE3367">
        <w:rPr>
          <w:rFonts w:cs="Times New Roman"/>
          <w:sz w:val="28"/>
          <w:szCs w:val="28"/>
        </w:rPr>
        <w:t>aunque pone en evidencia la ausencia de regulación expresa para la definición del órgano competente para resolver la controversia trabada entre la</w:t>
      </w:r>
      <w:r w:rsidR="003F6B3D" w:rsidRPr="00AE3367">
        <w:rPr>
          <w:rFonts w:eastAsia="Times New Roman" w:cs="Times New Roman"/>
          <w:noProof/>
          <w:color w:val="000000" w:themeColor="text1"/>
          <w:sz w:val="28"/>
          <w:szCs w:val="28"/>
        </w:rPr>
        <w:t xml:space="preserve"> Procuraduría Auxiliar para Asuntos Disciplinarios y la Sala Jurisdiccional Disciplinaria del Consejo Superior de la Judicatura</w:t>
      </w:r>
      <w:r w:rsidR="003F6B3D" w:rsidRPr="00AE3367">
        <w:rPr>
          <w:rFonts w:cs="Times New Roman"/>
          <w:sz w:val="28"/>
          <w:szCs w:val="28"/>
        </w:rPr>
        <w:t xml:space="preserve">, sirve para, a continuación, identificar el remedio judicial que, a partir del principio de razonabilidad, se torne jurídicamente más idóneo. </w:t>
      </w:r>
    </w:p>
    <w:p w14:paraId="4BE53D19" w14:textId="77777777" w:rsidR="00C541AA" w:rsidRPr="00AE3367" w:rsidRDefault="00C541AA" w:rsidP="00AE3367">
      <w:pPr>
        <w:jc w:val="both"/>
        <w:rPr>
          <w:rFonts w:cs="Times New Roman"/>
          <w:sz w:val="28"/>
          <w:szCs w:val="28"/>
        </w:rPr>
      </w:pPr>
    </w:p>
    <w:p w14:paraId="3465C691" w14:textId="4D7CDA5E" w:rsidR="003726C9" w:rsidRPr="00AE3367" w:rsidRDefault="00C541AA" w:rsidP="00AE3367">
      <w:pPr>
        <w:jc w:val="both"/>
        <w:rPr>
          <w:rFonts w:cs="Times New Roman"/>
          <w:sz w:val="28"/>
          <w:szCs w:val="28"/>
        </w:rPr>
      </w:pPr>
      <w:r w:rsidRPr="00AE3367">
        <w:rPr>
          <w:rFonts w:cs="Times New Roman"/>
          <w:sz w:val="28"/>
          <w:szCs w:val="28"/>
        </w:rPr>
        <w:t xml:space="preserve">2.8. </w:t>
      </w:r>
      <w:r w:rsidR="00236398" w:rsidRPr="00AE3367">
        <w:rPr>
          <w:rFonts w:cs="Times New Roman"/>
          <w:sz w:val="28"/>
          <w:szCs w:val="28"/>
        </w:rPr>
        <w:t>C</w:t>
      </w:r>
      <w:r w:rsidR="00D93EC8" w:rsidRPr="00AE3367">
        <w:rPr>
          <w:rFonts w:cs="Times New Roman"/>
          <w:sz w:val="28"/>
          <w:szCs w:val="28"/>
        </w:rPr>
        <w:t>ontrario a lo que ocurría en el tercer escenario contemplado en la legislación</w:t>
      </w:r>
      <w:r w:rsidR="00F76B9A" w:rsidRPr="00AE3367">
        <w:rPr>
          <w:rFonts w:cs="Times New Roman"/>
          <w:sz w:val="28"/>
          <w:szCs w:val="28"/>
        </w:rPr>
        <w:t xml:space="preserve"> (considerando 2.5</w:t>
      </w:r>
      <w:r w:rsidR="001F096A" w:rsidRPr="00AE3367">
        <w:rPr>
          <w:rFonts w:cs="Times New Roman"/>
          <w:sz w:val="28"/>
          <w:szCs w:val="28"/>
        </w:rPr>
        <w:t>.</w:t>
      </w:r>
      <w:r w:rsidR="00F76B9A" w:rsidRPr="00AE3367">
        <w:rPr>
          <w:rFonts w:cs="Times New Roman"/>
          <w:sz w:val="28"/>
          <w:szCs w:val="28"/>
        </w:rPr>
        <w:t>),</w:t>
      </w:r>
      <w:r w:rsidR="00D93EC8" w:rsidRPr="00AE3367">
        <w:rPr>
          <w:rFonts w:cs="Times New Roman"/>
          <w:sz w:val="28"/>
          <w:szCs w:val="28"/>
        </w:rPr>
        <w:t xml:space="preserve"> con la expedición de la Ley 1828 de 2017</w:t>
      </w:r>
      <w:r w:rsidR="00236398" w:rsidRPr="00AE3367">
        <w:rPr>
          <w:rFonts w:cs="Times New Roman"/>
          <w:sz w:val="28"/>
          <w:szCs w:val="28"/>
        </w:rPr>
        <w:t xml:space="preserve">, </w:t>
      </w:r>
      <w:r w:rsidR="00D93EC8" w:rsidRPr="00AE3367">
        <w:rPr>
          <w:rFonts w:cs="Times New Roman"/>
          <w:sz w:val="28"/>
          <w:szCs w:val="28"/>
        </w:rPr>
        <w:t>el Legislador le otorgó a la Sala Penal de la Corte Suprema de Justicia la función de resolver los conflictos negativos de competencia, de los que haga parte la Procuraduría General de la Nación</w:t>
      </w:r>
      <w:r w:rsidR="005F267E" w:rsidRPr="00AE3367">
        <w:rPr>
          <w:rFonts w:cs="Times New Roman"/>
          <w:sz w:val="28"/>
          <w:szCs w:val="28"/>
        </w:rPr>
        <w:t xml:space="preserve"> y la Comisión de Ética y Estatuto del Congresista de cualquiera de las cámaras</w:t>
      </w:r>
      <w:r w:rsidR="00D93EC8" w:rsidRPr="00AE3367">
        <w:rPr>
          <w:rFonts w:cs="Times New Roman"/>
          <w:sz w:val="28"/>
          <w:szCs w:val="28"/>
        </w:rPr>
        <w:t>, relacionados con el conocimiento de las causas disciplinarias iniciadas en contra de los y las congresistas</w:t>
      </w:r>
      <w:r w:rsidR="00236398" w:rsidRPr="00AE3367">
        <w:rPr>
          <w:rFonts w:cs="Times New Roman"/>
          <w:sz w:val="28"/>
          <w:szCs w:val="28"/>
        </w:rPr>
        <w:t xml:space="preserve"> (artículo 23)</w:t>
      </w:r>
      <w:r w:rsidR="00D93EC8" w:rsidRPr="00AE3367">
        <w:rPr>
          <w:rFonts w:cs="Times New Roman"/>
          <w:sz w:val="28"/>
          <w:szCs w:val="28"/>
        </w:rPr>
        <w:t>.</w:t>
      </w:r>
      <w:r w:rsidR="00236398" w:rsidRPr="00AE3367">
        <w:rPr>
          <w:rFonts w:cs="Times New Roman"/>
          <w:sz w:val="28"/>
          <w:szCs w:val="28"/>
        </w:rPr>
        <w:t xml:space="preserve"> </w:t>
      </w:r>
      <w:r w:rsidR="005F267E" w:rsidRPr="00AE3367">
        <w:rPr>
          <w:rFonts w:cs="Times New Roman"/>
          <w:sz w:val="28"/>
          <w:szCs w:val="28"/>
        </w:rPr>
        <w:t xml:space="preserve">En ese contexto, debe tenerse en cuenta que </w:t>
      </w:r>
      <w:r w:rsidR="003726C9" w:rsidRPr="00AE3367">
        <w:rPr>
          <w:rFonts w:cs="Times New Roman"/>
          <w:sz w:val="28"/>
          <w:szCs w:val="28"/>
        </w:rPr>
        <w:t xml:space="preserve">artículo 1º </w:t>
      </w:r>
      <w:r w:rsidR="00FE7D05" w:rsidRPr="00AE3367">
        <w:rPr>
          <w:rFonts w:cs="Times New Roman"/>
          <w:sz w:val="28"/>
          <w:szCs w:val="28"/>
        </w:rPr>
        <w:t>de la Ley 1828 de 2017</w:t>
      </w:r>
      <w:r w:rsidR="003726C9" w:rsidRPr="00AE3367">
        <w:rPr>
          <w:rFonts w:cs="Times New Roman"/>
          <w:sz w:val="28"/>
          <w:szCs w:val="28"/>
        </w:rPr>
        <w:t xml:space="preserve"> </w:t>
      </w:r>
      <w:r w:rsidR="00FD7B59" w:rsidRPr="00AE3367">
        <w:rPr>
          <w:rFonts w:cs="Times New Roman"/>
          <w:sz w:val="28"/>
          <w:szCs w:val="28"/>
        </w:rPr>
        <w:t xml:space="preserve">precisó que </w:t>
      </w:r>
      <w:r w:rsidR="003726C9" w:rsidRPr="00AE3367">
        <w:rPr>
          <w:rFonts w:cs="Times New Roman"/>
          <w:sz w:val="28"/>
          <w:szCs w:val="28"/>
        </w:rPr>
        <w:t>la adopción del Código de Ética y Disciplinario del Congresista tuvo por propósito constituir</w:t>
      </w:r>
      <w:r w:rsidR="00FD7B59" w:rsidRPr="00AE3367">
        <w:rPr>
          <w:rFonts w:cs="Times New Roman"/>
          <w:sz w:val="28"/>
          <w:szCs w:val="28"/>
        </w:rPr>
        <w:t xml:space="preserve"> el marco jurídico para la definición de la</w:t>
      </w:r>
      <w:r w:rsidR="003726C9" w:rsidRPr="00AE3367">
        <w:rPr>
          <w:rFonts w:cs="Times New Roman"/>
          <w:sz w:val="28"/>
          <w:szCs w:val="28"/>
        </w:rPr>
        <w:t xml:space="preserve"> “</w:t>
      </w:r>
      <w:r w:rsidR="003726C9" w:rsidRPr="00AE3367">
        <w:rPr>
          <w:rFonts w:cs="Times New Roman"/>
          <w:i/>
          <w:iCs/>
          <w:sz w:val="28"/>
          <w:szCs w:val="28"/>
          <w:u w:val="single"/>
        </w:rPr>
        <w:t>responsabilidad ética y disciplinaria</w:t>
      </w:r>
      <w:r w:rsidR="003726C9" w:rsidRPr="00AE3367">
        <w:rPr>
          <w:rFonts w:cs="Times New Roman"/>
          <w:i/>
          <w:iCs/>
          <w:sz w:val="28"/>
          <w:szCs w:val="28"/>
        </w:rPr>
        <w:t xml:space="preserve"> de los miembros del Congreso de la República</w:t>
      </w:r>
      <w:r w:rsidR="003726C9" w:rsidRPr="00AE3367">
        <w:rPr>
          <w:rFonts w:cs="Times New Roman"/>
          <w:sz w:val="28"/>
          <w:szCs w:val="28"/>
        </w:rPr>
        <w:t xml:space="preserve">”, por lo cual es claro que la garantía de esta finalidad </w:t>
      </w:r>
      <w:r w:rsidR="00FD7B59" w:rsidRPr="00AE3367">
        <w:rPr>
          <w:rFonts w:cs="Times New Roman"/>
          <w:sz w:val="28"/>
          <w:szCs w:val="28"/>
        </w:rPr>
        <w:t xml:space="preserve">(el curso adecuado de las causas disciplinarias formuladas contra los congresistas) </w:t>
      </w:r>
      <w:r w:rsidR="003726C9" w:rsidRPr="00AE3367">
        <w:rPr>
          <w:rFonts w:cs="Times New Roman"/>
          <w:sz w:val="28"/>
          <w:szCs w:val="28"/>
        </w:rPr>
        <w:t>es lo que</w:t>
      </w:r>
      <w:r w:rsidR="00FD7B59" w:rsidRPr="00AE3367">
        <w:rPr>
          <w:rFonts w:cs="Times New Roman"/>
          <w:sz w:val="28"/>
          <w:szCs w:val="28"/>
        </w:rPr>
        <w:t xml:space="preserve"> debe guiar la labor interpretativa</w:t>
      </w:r>
      <w:r w:rsidR="005F267E" w:rsidRPr="00AE3367">
        <w:rPr>
          <w:rFonts w:cs="Times New Roman"/>
          <w:sz w:val="28"/>
          <w:szCs w:val="28"/>
        </w:rPr>
        <w:t xml:space="preserve"> </w:t>
      </w:r>
      <w:r w:rsidR="00FD7B59" w:rsidRPr="00AE3367">
        <w:rPr>
          <w:rFonts w:cs="Times New Roman"/>
          <w:sz w:val="28"/>
          <w:szCs w:val="28"/>
        </w:rPr>
        <w:t xml:space="preserve">del artículo 23 </w:t>
      </w:r>
      <w:r w:rsidR="001F096A" w:rsidRPr="00AE3367">
        <w:rPr>
          <w:rFonts w:cs="Times New Roman"/>
          <w:sz w:val="28"/>
          <w:szCs w:val="28"/>
        </w:rPr>
        <w:t>citado.</w:t>
      </w:r>
      <w:r w:rsidR="00FD7B59" w:rsidRPr="00AE3367">
        <w:rPr>
          <w:rFonts w:cs="Times New Roman"/>
          <w:sz w:val="28"/>
          <w:szCs w:val="28"/>
        </w:rPr>
        <w:t xml:space="preserve">  </w:t>
      </w:r>
      <w:r w:rsidR="003726C9" w:rsidRPr="00AE3367">
        <w:rPr>
          <w:rFonts w:cs="Times New Roman"/>
          <w:sz w:val="28"/>
          <w:szCs w:val="28"/>
        </w:rPr>
        <w:t xml:space="preserve"> </w:t>
      </w:r>
    </w:p>
    <w:p w14:paraId="3F7F8463" w14:textId="77777777" w:rsidR="00FD7B59" w:rsidRPr="00AE3367" w:rsidRDefault="00FD7B59" w:rsidP="00AE3367">
      <w:pPr>
        <w:jc w:val="both"/>
        <w:rPr>
          <w:rFonts w:cs="Times New Roman"/>
          <w:sz w:val="28"/>
          <w:szCs w:val="28"/>
        </w:rPr>
      </w:pPr>
    </w:p>
    <w:p w14:paraId="1A06B065" w14:textId="62AEBFA6" w:rsidR="00B12570" w:rsidRPr="00AE3367" w:rsidRDefault="00FE7D05" w:rsidP="00AE3367">
      <w:pPr>
        <w:jc w:val="both"/>
        <w:rPr>
          <w:rFonts w:cs="Times New Roman"/>
          <w:sz w:val="28"/>
          <w:szCs w:val="28"/>
        </w:rPr>
      </w:pPr>
      <w:r w:rsidRPr="00AE3367">
        <w:rPr>
          <w:rFonts w:cs="Times New Roman"/>
          <w:sz w:val="28"/>
          <w:szCs w:val="28"/>
        </w:rPr>
        <w:t>2.</w:t>
      </w:r>
      <w:r w:rsidR="00C541AA" w:rsidRPr="00AE3367">
        <w:rPr>
          <w:rFonts w:cs="Times New Roman"/>
          <w:sz w:val="28"/>
          <w:szCs w:val="28"/>
        </w:rPr>
        <w:t>9</w:t>
      </w:r>
      <w:r w:rsidRPr="00AE3367">
        <w:rPr>
          <w:rFonts w:cs="Times New Roman"/>
          <w:sz w:val="28"/>
          <w:szCs w:val="28"/>
        </w:rPr>
        <w:t xml:space="preserve">. </w:t>
      </w:r>
      <w:r w:rsidR="00112D6D" w:rsidRPr="00AE3367">
        <w:rPr>
          <w:rFonts w:cs="Times New Roman"/>
          <w:sz w:val="28"/>
          <w:szCs w:val="28"/>
        </w:rPr>
        <w:t>E</w:t>
      </w:r>
      <w:r w:rsidR="00B12570" w:rsidRPr="00AE3367">
        <w:rPr>
          <w:rFonts w:cs="Times New Roman"/>
          <w:sz w:val="28"/>
          <w:szCs w:val="28"/>
        </w:rPr>
        <w:t xml:space="preserve">n relación con el caso concreto, </w:t>
      </w:r>
      <w:r w:rsidR="00FD7B59" w:rsidRPr="00AE3367">
        <w:rPr>
          <w:rFonts w:cs="Times New Roman"/>
          <w:sz w:val="28"/>
          <w:szCs w:val="28"/>
        </w:rPr>
        <w:t xml:space="preserve">el hecho de que la queja disciplinaria haya sido promovida </w:t>
      </w:r>
      <w:r w:rsidR="00D168EE" w:rsidRPr="00AE3367">
        <w:rPr>
          <w:rFonts w:cs="Times New Roman"/>
          <w:sz w:val="28"/>
          <w:szCs w:val="28"/>
        </w:rPr>
        <w:t>el 4 de mayo de 2016</w:t>
      </w:r>
      <w:r w:rsidR="00B12570" w:rsidRPr="00AE3367">
        <w:rPr>
          <w:rFonts w:cs="Times New Roman"/>
          <w:sz w:val="28"/>
          <w:szCs w:val="28"/>
        </w:rPr>
        <w:t xml:space="preserve">, </w:t>
      </w:r>
      <w:r w:rsidR="001F096A" w:rsidRPr="00AE3367">
        <w:rPr>
          <w:rFonts w:cs="Times New Roman"/>
          <w:sz w:val="28"/>
          <w:szCs w:val="28"/>
        </w:rPr>
        <w:t xml:space="preserve">de manera </w:t>
      </w:r>
      <w:r w:rsidR="00B12570" w:rsidRPr="00AE3367">
        <w:rPr>
          <w:rFonts w:cs="Times New Roman"/>
          <w:sz w:val="28"/>
          <w:szCs w:val="28"/>
        </w:rPr>
        <w:t>previ</w:t>
      </w:r>
      <w:r w:rsidR="001F096A" w:rsidRPr="00AE3367">
        <w:rPr>
          <w:rFonts w:cs="Times New Roman"/>
          <w:sz w:val="28"/>
          <w:szCs w:val="28"/>
        </w:rPr>
        <w:t>a</w:t>
      </w:r>
      <w:r w:rsidR="00B12570" w:rsidRPr="00AE3367">
        <w:rPr>
          <w:rFonts w:cs="Times New Roman"/>
          <w:sz w:val="28"/>
          <w:szCs w:val="28"/>
        </w:rPr>
        <w:t xml:space="preserve"> a la expedición de la Ley 1828 de 2017, no es un asunto </w:t>
      </w:r>
      <w:r w:rsidR="004E06BA" w:rsidRPr="00AE3367">
        <w:rPr>
          <w:rFonts w:cs="Times New Roman"/>
          <w:sz w:val="28"/>
          <w:szCs w:val="28"/>
        </w:rPr>
        <w:t>d</w:t>
      </w:r>
      <w:r w:rsidR="00B12570" w:rsidRPr="00AE3367">
        <w:rPr>
          <w:rFonts w:cs="Times New Roman"/>
          <w:sz w:val="28"/>
          <w:szCs w:val="28"/>
        </w:rPr>
        <w:t>el cual</w:t>
      </w:r>
      <w:r w:rsidR="00486C4E" w:rsidRPr="00AE3367">
        <w:rPr>
          <w:rFonts w:cs="Times New Roman"/>
          <w:sz w:val="28"/>
          <w:szCs w:val="28"/>
        </w:rPr>
        <w:t xml:space="preserve"> deba ocuparse</w:t>
      </w:r>
      <w:r w:rsidR="00B12570" w:rsidRPr="00AE3367">
        <w:rPr>
          <w:rFonts w:cs="Times New Roman"/>
          <w:sz w:val="28"/>
          <w:szCs w:val="28"/>
        </w:rPr>
        <w:t xml:space="preserve"> esta Corporación. Como ya se dijo, n</w:t>
      </w:r>
      <w:r w:rsidR="00AC3843" w:rsidRPr="00AE3367">
        <w:rPr>
          <w:rFonts w:cs="Times New Roman"/>
          <w:sz w:val="28"/>
          <w:szCs w:val="28"/>
        </w:rPr>
        <w:t>o es labor de la Corte Constitucional pronunciarse, en esta providencia, acerca de cuestiones propias del fondo de</w:t>
      </w:r>
      <w:r w:rsidR="00B12570" w:rsidRPr="00AE3367">
        <w:rPr>
          <w:rFonts w:cs="Times New Roman"/>
          <w:sz w:val="28"/>
          <w:szCs w:val="28"/>
        </w:rPr>
        <w:t xml:space="preserve">l litigio que enmarca </w:t>
      </w:r>
      <w:r w:rsidR="001F096A" w:rsidRPr="00AE3367">
        <w:rPr>
          <w:rFonts w:cs="Times New Roman"/>
          <w:sz w:val="28"/>
          <w:szCs w:val="28"/>
        </w:rPr>
        <w:t>el caso</w:t>
      </w:r>
      <w:r w:rsidR="00B12570" w:rsidRPr="00AE3367">
        <w:rPr>
          <w:rFonts w:cs="Times New Roman"/>
          <w:sz w:val="28"/>
          <w:szCs w:val="28"/>
        </w:rPr>
        <w:t xml:space="preserve">. Pero sí es </w:t>
      </w:r>
      <w:r w:rsidR="004E06BA" w:rsidRPr="00AE3367">
        <w:rPr>
          <w:rFonts w:cs="Times New Roman"/>
          <w:sz w:val="28"/>
          <w:szCs w:val="28"/>
        </w:rPr>
        <w:t>labor</w:t>
      </w:r>
      <w:r w:rsidR="00B12570" w:rsidRPr="00AE3367">
        <w:rPr>
          <w:rFonts w:cs="Times New Roman"/>
          <w:sz w:val="28"/>
          <w:szCs w:val="28"/>
        </w:rPr>
        <w:t xml:space="preserve"> de est</w:t>
      </w:r>
      <w:r w:rsidRPr="00AE3367">
        <w:rPr>
          <w:rFonts w:cs="Times New Roman"/>
          <w:sz w:val="28"/>
          <w:szCs w:val="28"/>
        </w:rPr>
        <w:t>e</w:t>
      </w:r>
      <w:r w:rsidR="00B12570" w:rsidRPr="00AE3367">
        <w:rPr>
          <w:rFonts w:cs="Times New Roman"/>
          <w:sz w:val="28"/>
          <w:szCs w:val="28"/>
        </w:rPr>
        <w:t xml:space="preserve"> Tribunal circunscribir su pronunciamiento a los elementos fácticos y jurídicos </w:t>
      </w:r>
      <w:r w:rsidR="00B12570" w:rsidRPr="00AE3367">
        <w:rPr>
          <w:rFonts w:cs="Times New Roman"/>
          <w:sz w:val="28"/>
          <w:szCs w:val="28"/>
          <w:u w:val="single"/>
        </w:rPr>
        <w:t>de</w:t>
      </w:r>
      <w:r w:rsidR="00D168EE" w:rsidRPr="00AE3367">
        <w:rPr>
          <w:rFonts w:cs="Times New Roman"/>
          <w:sz w:val="28"/>
          <w:szCs w:val="28"/>
          <w:u w:val="single"/>
        </w:rPr>
        <w:t xml:space="preserve"> la controversia</w:t>
      </w:r>
      <w:r w:rsidR="00D168EE" w:rsidRPr="00AE3367">
        <w:rPr>
          <w:rFonts w:cs="Times New Roman"/>
          <w:sz w:val="28"/>
          <w:szCs w:val="28"/>
        </w:rPr>
        <w:t xml:space="preserve"> que le ha sido puesta en su consideración</w:t>
      </w:r>
      <w:r w:rsidR="00B12570" w:rsidRPr="00AE3367">
        <w:rPr>
          <w:rFonts w:cs="Times New Roman"/>
          <w:sz w:val="28"/>
          <w:szCs w:val="28"/>
        </w:rPr>
        <w:t>.</w:t>
      </w:r>
      <w:r w:rsidR="00486C4E" w:rsidRPr="00AE3367">
        <w:rPr>
          <w:rFonts w:cs="Times New Roman"/>
          <w:sz w:val="28"/>
          <w:szCs w:val="28"/>
        </w:rPr>
        <w:t xml:space="preserve"> Esto es, el rechazo de la competencia para conocer del procedimiento disciplinario. </w:t>
      </w:r>
      <w:r w:rsidR="00B12570" w:rsidRPr="00AE3367">
        <w:rPr>
          <w:rFonts w:cs="Times New Roman"/>
          <w:sz w:val="28"/>
          <w:szCs w:val="28"/>
        </w:rPr>
        <w:t xml:space="preserve"> </w:t>
      </w:r>
    </w:p>
    <w:p w14:paraId="0DA9D1C9" w14:textId="77777777" w:rsidR="00D168EE" w:rsidRPr="00AE3367" w:rsidRDefault="00D168EE" w:rsidP="00AE3367">
      <w:pPr>
        <w:jc w:val="both"/>
        <w:rPr>
          <w:rFonts w:cs="Times New Roman"/>
          <w:sz w:val="28"/>
          <w:szCs w:val="28"/>
        </w:rPr>
      </w:pPr>
    </w:p>
    <w:p w14:paraId="46E1BD3F" w14:textId="38844E2F" w:rsidR="00DD2DE3" w:rsidRPr="00AE3367" w:rsidRDefault="00FE7D05" w:rsidP="00AE3367">
      <w:pPr>
        <w:jc w:val="both"/>
        <w:rPr>
          <w:rFonts w:cs="Times New Roman"/>
          <w:sz w:val="28"/>
          <w:szCs w:val="28"/>
        </w:rPr>
      </w:pPr>
      <w:r w:rsidRPr="00AE3367">
        <w:rPr>
          <w:rFonts w:cs="Times New Roman"/>
          <w:sz w:val="28"/>
          <w:szCs w:val="28"/>
        </w:rPr>
        <w:t>2.</w:t>
      </w:r>
      <w:r w:rsidR="00C541AA" w:rsidRPr="00AE3367">
        <w:rPr>
          <w:rFonts w:cs="Times New Roman"/>
          <w:sz w:val="28"/>
          <w:szCs w:val="28"/>
        </w:rPr>
        <w:t>10</w:t>
      </w:r>
      <w:r w:rsidRPr="00AE3367">
        <w:rPr>
          <w:rFonts w:cs="Times New Roman"/>
          <w:sz w:val="28"/>
          <w:szCs w:val="28"/>
        </w:rPr>
        <w:t xml:space="preserve">. </w:t>
      </w:r>
      <w:r w:rsidR="008A61F0" w:rsidRPr="00AE3367">
        <w:rPr>
          <w:rFonts w:cs="Times New Roman"/>
          <w:sz w:val="28"/>
          <w:szCs w:val="28"/>
        </w:rPr>
        <w:t xml:space="preserve">Como se registró en el </w:t>
      </w:r>
      <w:r w:rsidR="005F267E" w:rsidRPr="00AE3367">
        <w:rPr>
          <w:rFonts w:cs="Times New Roman"/>
          <w:sz w:val="28"/>
          <w:szCs w:val="28"/>
        </w:rPr>
        <w:t>acápite</w:t>
      </w:r>
      <w:r w:rsidR="008A61F0" w:rsidRPr="00AE3367">
        <w:rPr>
          <w:rFonts w:cs="Times New Roman"/>
          <w:sz w:val="28"/>
          <w:szCs w:val="28"/>
        </w:rPr>
        <w:t xml:space="preserve"> de antecedentes de este Auto, </w:t>
      </w:r>
      <w:r w:rsidR="00486C4E" w:rsidRPr="00AE3367">
        <w:rPr>
          <w:rFonts w:cs="Times New Roman"/>
          <w:sz w:val="28"/>
          <w:szCs w:val="28"/>
        </w:rPr>
        <w:t xml:space="preserve">la primera autoridad en rechazar su competencia fue la Procuraduría General de la Nación, el 23 de marzo de 2018. Con posterioridad, lo hizo también la Sala Jurisdiccional Disciplinaria del Consejo Superior de la Judicatura, específicamente el 25 de septiembre de 2019. </w:t>
      </w:r>
      <w:r w:rsidR="001F096A" w:rsidRPr="00AE3367">
        <w:rPr>
          <w:rFonts w:cs="Times New Roman"/>
          <w:sz w:val="28"/>
          <w:szCs w:val="28"/>
        </w:rPr>
        <w:t>E</w:t>
      </w:r>
      <w:r w:rsidR="00486C4E" w:rsidRPr="00AE3367">
        <w:rPr>
          <w:rFonts w:cs="Times New Roman"/>
          <w:sz w:val="28"/>
          <w:szCs w:val="28"/>
        </w:rPr>
        <w:t xml:space="preserve">l 18 de octubre de 2019 </w:t>
      </w:r>
      <w:r w:rsidR="00DD2DE3" w:rsidRPr="00AE3367">
        <w:rPr>
          <w:rFonts w:cs="Times New Roman"/>
          <w:sz w:val="28"/>
          <w:szCs w:val="28"/>
        </w:rPr>
        <w:t>la contención fue enviada a la Corte Constitucional. Esta</w:t>
      </w:r>
      <w:r w:rsidRPr="00AE3367">
        <w:rPr>
          <w:rFonts w:cs="Times New Roman"/>
          <w:sz w:val="28"/>
          <w:szCs w:val="28"/>
        </w:rPr>
        <w:t>s</w:t>
      </w:r>
      <w:r w:rsidR="00DD2DE3" w:rsidRPr="00AE3367">
        <w:rPr>
          <w:rFonts w:cs="Times New Roman"/>
          <w:sz w:val="28"/>
          <w:szCs w:val="28"/>
        </w:rPr>
        <w:t xml:space="preserve"> fechas son indicativas de que, independientemente del curso procesal que deba seguir el fondo del </w:t>
      </w:r>
      <w:r w:rsidR="00DD2DE3" w:rsidRPr="00AE3367">
        <w:rPr>
          <w:rFonts w:cs="Times New Roman"/>
          <w:sz w:val="28"/>
          <w:szCs w:val="28"/>
        </w:rPr>
        <w:lastRenderedPageBreak/>
        <w:t xml:space="preserve">asunto disciplinario, </w:t>
      </w:r>
      <w:r w:rsidR="00DD2DE3" w:rsidRPr="00AE3367">
        <w:rPr>
          <w:rFonts w:cs="Times New Roman"/>
          <w:sz w:val="28"/>
          <w:szCs w:val="28"/>
          <w:u w:val="single"/>
        </w:rPr>
        <w:t xml:space="preserve">la controversia entre las entidades se </w:t>
      </w:r>
      <w:r w:rsidR="001F096A" w:rsidRPr="00AE3367">
        <w:rPr>
          <w:rFonts w:cs="Times New Roman"/>
          <w:sz w:val="28"/>
          <w:szCs w:val="28"/>
          <w:u w:val="single"/>
        </w:rPr>
        <w:t>dio</w:t>
      </w:r>
      <w:r w:rsidR="00DD2DE3" w:rsidRPr="00AE3367">
        <w:rPr>
          <w:rFonts w:cs="Times New Roman"/>
          <w:sz w:val="28"/>
          <w:szCs w:val="28"/>
          <w:u w:val="single"/>
        </w:rPr>
        <w:t xml:space="preserve"> con posterioridad al 23 de enero de 2017, momento en el cual </w:t>
      </w:r>
      <w:r w:rsidR="001F096A" w:rsidRPr="00AE3367">
        <w:rPr>
          <w:rFonts w:cs="Times New Roman"/>
          <w:sz w:val="28"/>
          <w:szCs w:val="28"/>
          <w:u w:val="single"/>
        </w:rPr>
        <w:t>fue expedida</w:t>
      </w:r>
      <w:r w:rsidR="00DD2DE3" w:rsidRPr="00AE3367">
        <w:rPr>
          <w:rFonts w:cs="Times New Roman"/>
          <w:sz w:val="28"/>
          <w:szCs w:val="28"/>
          <w:u w:val="single"/>
        </w:rPr>
        <w:t xml:space="preserve"> la Ley 1828</w:t>
      </w:r>
      <w:r w:rsidR="00DD2DE3" w:rsidRPr="00AE3367">
        <w:rPr>
          <w:rFonts w:cs="Times New Roman"/>
          <w:sz w:val="28"/>
          <w:szCs w:val="28"/>
        </w:rPr>
        <w:t>. En ese sentido, atendiendo a los criterios de especialidad y temporalidad, la Corte Constitucional no puede dejar de lado que el marco jurídico que define el procedimiento que debe surtir la resolución de esta controversia es el vigente al momento en que</w:t>
      </w:r>
      <w:r w:rsidR="00437928" w:rsidRPr="00AE3367">
        <w:rPr>
          <w:rFonts w:cs="Times New Roman"/>
          <w:sz w:val="28"/>
          <w:szCs w:val="28"/>
        </w:rPr>
        <w:t xml:space="preserve"> ésta </w:t>
      </w:r>
      <w:r w:rsidR="001F096A" w:rsidRPr="00AE3367">
        <w:rPr>
          <w:rFonts w:cs="Times New Roman"/>
          <w:sz w:val="28"/>
          <w:szCs w:val="28"/>
        </w:rPr>
        <w:t>surgió</w:t>
      </w:r>
      <w:r w:rsidR="00DD2DE3" w:rsidRPr="00AE3367">
        <w:rPr>
          <w:rFonts w:cs="Times New Roman"/>
          <w:sz w:val="28"/>
          <w:szCs w:val="28"/>
        </w:rPr>
        <w:t xml:space="preserve">. </w:t>
      </w:r>
    </w:p>
    <w:p w14:paraId="5D2600B0" w14:textId="77777777" w:rsidR="00DD2DE3" w:rsidRPr="00AE3367" w:rsidRDefault="00DD2DE3" w:rsidP="00AE3367">
      <w:pPr>
        <w:jc w:val="both"/>
        <w:rPr>
          <w:rFonts w:cs="Times New Roman"/>
          <w:sz w:val="28"/>
          <w:szCs w:val="28"/>
        </w:rPr>
      </w:pPr>
    </w:p>
    <w:p w14:paraId="7CECCAFF" w14:textId="481BEA26" w:rsidR="00AC3843" w:rsidRPr="00AE3367" w:rsidRDefault="00C541AA" w:rsidP="00AE3367">
      <w:pPr>
        <w:jc w:val="both"/>
        <w:rPr>
          <w:rFonts w:cs="Times New Roman"/>
          <w:sz w:val="28"/>
          <w:szCs w:val="28"/>
        </w:rPr>
      </w:pPr>
      <w:r w:rsidRPr="00AE3367">
        <w:rPr>
          <w:rFonts w:cs="Times New Roman"/>
          <w:sz w:val="28"/>
          <w:szCs w:val="28"/>
        </w:rPr>
        <w:t xml:space="preserve">2.11. </w:t>
      </w:r>
      <w:r w:rsidR="00DD2DE3" w:rsidRPr="00AE3367">
        <w:rPr>
          <w:rFonts w:cs="Times New Roman"/>
          <w:sz w:val="28"/>
          <w:szCs w:val="28"/>
        </w:rPr>
        <w:t xml:space="preserve">En consideración de lo expuesto, para la Sala </w:t>
      </w:r>
      <w:r w:rsidR="001F096A" w:rsidRPr="00AE3367">
        <w:rPr>
          <w:rFonts w:cs="Times New Roman"/>
          <w:sz w:val="28"/>
          <w:szCs w:val="28"/>
        </w:rPr>
        <w:t xml:space="preserve">Plena resulta </w:t>
      </w:r>
      <w:r w:rsidR="00DD2DE3" w:rsidRPr="00AE3367">
        <w:rPr>
          <w:rFonts w:cs="Times New Roman"/>
          <w:sz w:val="28"/>
          <w:szCs w:val="28"/>
        </w:rPr>
        <w:t xml:space="preserve">claro que la Ley 1828 de 2017 </w:t>
      </w:r>
      <w:r w:rsidR="001F096A" w:rsidRPr="00AE3367">
        <w:rPr>
          <w:rFonts w:cs="Times New Roman"/>
          <w:sz w:val="28"/>
          <w:szCs w:val="28"/>
        </w:rPr>
        <w:t xml:space="preserve">es </w:t>
      </w:r>
      <w:r w:rsidR="00DD2DE3" w:rsidRPr="00AE3367">
        <w:rPr>
          <w:rFonts w:cs="Times New Roman"/>
          <w:sz w:val="28"/>
          <w:szCs w:val="28"/>
        </w:rPr>
        <w:t xml:space="preserve"> la </w:t>
      </w:r>
      <w:r w:rsidR="00F76B9A" w:rsidRPr="00AE3367">
        <w:rPr>
          <w:rFonts w:cs="Times New Roman"/>
          <w:sz w:val="28"/>
          <w:szCs w:val="28"/>
        </w:rPr>
        <w:t xml:space="preserve">normatividad </w:t>
      </w:r>
      <w:r w:rsidR="00DD2DE3" w:rsidRPr="00AE3367">
        <w:rPr>
          <w:rFonts w:cs="Times New Roman"/>
          <w:sz w:val="28"/>
          <w:szCs w:val="28"/>
        </w:rPr>
        <w:t xml:space="preserve">aplicable </w:t>
      </w:r>
      <w:r w:rsidR="00DD2DE3" w:rsidRPr="00AE3367">
        <w:rPr>
          <w:rFonts w:cs="Times New Roman"/>
          <w:sz w:val="28"/>
          <w:szCs w:val="28"/>
          <w:u w:val="single"/>
        </w:rPr>
        <w:t>para determinar la autoridad encargada de zanjar la controversia relacionada con el órgano competente para conocer de la queja disciplinaria</w:t>
      </w:r>
      <w:r w:rsidR="00DD2DE3" w:rsidRPr="00AE3367">
        <w:rPr>
          <w:rFonts w:cs="Times New Roman"/>
          <w:sz w:val="28"/>
          <w:szCs w:val="28"/>
        </w:rPr>
        <w:t xml:space="preserve"> formulada por el </w:t>
      </w:r>
      <w:r w:rsidR="001F096A" w:rsidRPr="00AE3367">
        <w:rPr>
          <w:rFonts w:cs="Times New Roman"/>
          <w:sz w:val="28"/>
          <w:szCs w:val="28"/>
        </w:rPr>
        <w:t xml:space="preserve">apoderado del </w:t>
      </w:r>
      <w:proofErr w:type="spellStart"/>
      <w:r w:rsidR="001F096A" w:rsidRPr="00AE3367">
        <w:rPr>
          <w:rFonts w:cs="Times New Roman"/>
          <w:sz w:val="28"/>
          <w:szCs w:val="28"/>
        </w:rPr>
        <w:t>exmagistrado</w:t>
      </w:r>
      <w:proofErr w:type="spellEnd"/>
      <w:r w:rsidR="001F096A" w:rsidRPr="00AE3367">
        <w:rPr>
          <w:rFonts w:cs="Times New Roman"/>
          <w:sz w:val="28"/>
          <w:szCs w:val="28"/>
        </w:rPr>
        <w:t xml:space="preserve"> Jorge </w:t>
      </w:r>
      <w:proofErr w:type="spellStart"/>
      <w:r w:rsidR="001F096A" w:rsidRPr="00AE3367">
        <w:rPr>
          <w:rFonts w:cs="Times New Roman"/>
          <w:sz w:val="28"/>
          <w:szCs w:val="28"/>
        </w:rPr>
        <w:t>Pretelt</w:t>
      </w:r>
      <w:proofErr w:type="spellEnd"/>
      <w:r w:rsidR="001F096A" w:rsidRPr="00AE3367">
        <w:rPr>
          <w:rFonts w:cs="Times New Roman"/>
          <w:sz w:val="28"/>
          <w:szCs w:val="28"/>
        </w:rPr>
        <w:t xml:space="preserve"> </w:t>
      </w:r>
      <w:proofErr w:type="spellStart"/>
      <w:r w:rsidR="001F096A" w:rsidRPr="00AE3367">
        <w:rPr>
          <w:rFonts w:cs="Times New Roman"/>
          <w:sz w:val="28"/>
          <w:szCs w:val="28"/>
        </w:rPr>
        <w:t>Chaljub</w:t>
      </w:r>
      <w:proofErr w:type="spellEnd"/>
      <w:r w:rsidR="00DD2DE3" w:rsidRPr="00AE3367">
        <w:rPr>
          <w:rFonts w:cs="Times New Roman"/>
          <w:sz w:val="28"/>
          <w:szCs w:val="28"/>
        </w:rPr>
        <w:t>, en contra del</w:t>
      </w:r>
      <w:r w:rsidR="00056C2F" w:rsidRPr="00AE3367">
        <w:rPr>
          <w:rFonts w:cs="Times New Roman"/>
          <w:sz w:val="28"/>
          <w:szCs w:val="28"/>
        </w:rPr>
        <w:t xml:space="preserve"> congresista</w:t>
      </w:r>
      <w:r w:rsidR="00DD2DE3" w:rsidRPr="00AE3367">
        <w:rPr>
          <w:rFonts w:cs="Times New Roman"/>
          <w:sz w:val="28"/>
          <w:szCs w:val="28"/>
        </w:rPr>
        <w:t xml:space="preserve"> Julián Bedoya </w:t>
      </w:r>
      <w:proofErr w:type="spellStart"/>
      <w:r w:rsidR="00DD2DE3" w:rsidRPr="00AE3367">
        <w:rPr>
          <w:rFonts w:cs="Times New Roman"/>
          <w:sz w:val="28"/>
          <w:szCs w:val="28"/>
        </w:rPr>
        <w:t>Pulgarín</w:t>
      </w:r>
      <w:proofErr w:type="spellEnd"/>
      <w:r w:rsidR="00DD2DE3" w:rsidRPr="00AE3367">
        <w:rPr>
          <w:rFonts w:cs="Times New Roman"/>
          <w:sz w:val="28"/>
          <w:szCs w:val="28"/>
        </w:rPr>
        <w:t xml:space="preserve">. </w:t>
      </w:r>
      <w:r w:rsidR="003F6B3D" w:rsidRPr="00AE3367">
        <w:rPr>
          <w:rFonts w:cs="Times New Roman"/>
          <w:sz w:val="28"/>
          <w:szCs w:val="28"/>
        </w:rPr>
        <w:t xml:space="preserve">Bajo esa perspectiva, la Corte estima necesario poner en consideración de la Comisión de Ética y Estatuto del Congresista de la Cámara de Representantes el expediente de la referencia, a fin de que se pronuncie acerca de su competencia para conocer de la causa disciplinaria iniciada en contra del mencionado </w:t>
      </w:r>
      <w:proofErr w:type="spellStart"/>
      <w:r w:rsidR="003F6B3D" w:rsidRPr="00AE3367">
        <w:rPr>
          <w:rFonts w:cs="Times New Roman"/>
          <w:sz w:val="28"/>
          <w:szCs w:val="28"/>
        </w:rPr>
        <w:t>exrepresentante</w:t>
      </w:r>
      <w:proofErr w:type="spellEnd"/>
      <w:r w:rsidR="003F6B3D" w:rsidRPr="00AE3367">
        <w:rPr>
          <w:rFonts w:cs="Times New Roman"/>
          <w:sz w:val="28"/>
          <w:szCs w:val="28"/>
        </w:rPr>
        <w:t xml:space="preserve"> a la Cámara. En caso de que dicha Comisión niegue su competencia disciplinaria, ésta deberá remitir el asunto a la Sala Penal de la Corte Suprema de Justicia para que, de conformidad con lo dispuesto en el artículo 23 de la Ley 1828 de 2017, defina el órgano al cual le corresponde conocer de la mencionada queja disciplinaria.</w:t>
      </w:r>
    </w:p>
    <w:p w14:paraId="71F288FF" w14:textId="77777777" w:rsidR="003F6B3D" w:rsidRPr="00AE3367" w:rsidRDefault="003F6B3D" w:rsidP="00AE3367">
      <w:pPr>
        <w:jc w:val="both"/>
        <w:rPr>
          <w:rFonts w:eastAsia="Calibri" w:cs="Times New Roman"/>
          <w:b/>
          <w:noProof/>
          <w:color w:val="000000" w:themeColor="text1"/>
          <w:sz w:val="28"/>
          <w:szCs w:val="28"/>
        </w:rPr>
      </w:pPr>
    </w:p>
    <w:p w14:paraId="23348150" w14:textId="77777777" w:rsidR="00FC6EAE" w:rsidRPr="00AE3367" w:rsidRDefault="00FC6EAE" w:rsidP="00AE3367">
      <w:pPr>
        <w:jc w:val="both"/>
        <w:rPr>
          <w:rFonts w:eastAsia="Calibri" w:cs="Times New Roman"/>
          <w:b/>
          <w:noProof/>
          <w:color w:val="000000" w:themeColor="text1"/>
          <w:sz w:val="28"/>
          <w:szCs w:val="28"/>
        </w:rPr>
      </w:pPr>
      <w:r w:rsidRPr="00AE3367">
        <w:rPr>
          <w:rFonts w:eastAsia="Calibri" w:cs="Times New Roman"/>
          <w:b/>
          <w:noProof/>
          <w:color w:val="000000" w:themeColor="text1"/>
          <w:sz w:val="28"/>
          <w:szCs w:val="28"/>
        </w:rPr>
        <w:t>III. DECISIÓN</w:t>
      </w:r>
      <w:bookmarkEnd w:id="2"/>
    </w:p>
    <w:p w14:paraId="3051AA76" w14:textId="77777777" w:rsidR="00FC6EAE" w:rsidRPr="00AE3367" w:rsidRDefault="00FC6EAE" w:rsidP="00AE3367">
      <w:pPr>
        <w:tabs>
          <w:tab w:val="num" w:pos="561"/>
        </w:tabs>
        <w:jc w:val="both"/>
        <w:rPr>
          <w:rFonts w:eastAsia="Calibri" w:cs="Times New Roman"/>
          <w:b/>
          <w:noProof/>
          <w:color w:val="000000" w:themeColor="text1"/>
          <w:sz w:val="28"/>
          <w:szCs w:val="28"/>
        </w:rPr>
      </w:pPr>
    </w:p>
    <w:p w14:paraId="480546E2" w14:textId="77777777" w:rsidR="003E72A3" w:rsidRPr="00AE3367" w:rsidRDefault="00FC6EAE" w:rsidP="00AE3367">
      <w:pPr>
        <w:jc w:val="both"/>
        <w:rPr>
          <w:rFonts w:eastAsia="Calibri" w:cs="Times New Roman"/>
          <w:noProof/>
          <w:color w:val="000000" w:themeColor="text1"/>
          <w:sz w:val="28"/>
          <w:szCs w:val="28"/>
        </w:rPr>
      </w:pPr>
      <w:r w:rsidRPr="00AE3367">
        <w:rPr>
          <w:rFonts w:eastAsia="Calibri" w:cs="Times New Roman"/>
          <w:noProof/>
          <w:color w:val="000000" w:themeColor="text1"/>
          <w:sz w:val="28"/>
          <w:szCs w:val="28"/>
        </w:rPr>
        <w:t>En mérito de lo expuesto, la Sala Plena de la Corte Constitucional de la República de Colombia, administrando justicia en nombre del pueblo y por mandato de la Constitución,</w:t>
      </w:r>
      <w:bookmarkStart w:id="3" w:name="_Toc507407100"/>
    </w:p>
    <w:p w14:paraId="0D7D3A06" w14:textId="77777777" w:rsidR="00D32906" w:rsidRPr="00AE3367" w:rsidRDefault="00D32906" w:rsidP="00AE3367">
      <w:pPr>
        <w:jc w:val="both"/>
        <w:rPr>
          <w:rFonts w:eastAsia="Calibri" w:cs="Times New Roman"/>
          <w:noProof/>
          <w:color w:val="000000" w:themeColor="text1"/>
          <w:sz w:val="28"/>
          <w:szCs w:val="28"/>
        </w:rPr>
      </w:pPr>
    </w:p>
    <w:p w14:paraId="1827BD91" w14:textId="77777777" w:rsidR="00FC6EAE" w:rsidRPr="00AE3367" w:rsidRDefault="00FC6EAE" w:rsidP="00AE3367">
      <w:pPr>
        <w:jc w:val="center"/>
        <w:rPr>
          <w:rFonts w:eastAsia="Calibri" w:cs="Times New Roman"/>
          <w:b/>
          <w:noProof/>
          <w:color w:val="000000" w:themeColor="text1"/>
          <w:sz w:val="28"/>
          <w:szCs w:val="28"/>
        </w:rPr>
      </w:pPr>
      <w:r w:rsidRPr="00AE3367">
        <w:rPr>
          <w:rFonts w:eastAsia="Times New Roman" w:cs="Times New Roman"/>
          <w:b/>
          <w:noProof/>
          <w:color w:val="000000" w:themeColor="text1"/>
          <w:sz w:val="28"/>
          <w:szCs w:val="28"/>
        </w:rPr>
        <w:t>RESUELVE</w:t>
      </w:r>
      <w:bookmarkEnd w:id="3"/>
      <w:r w:rsidR="003E72A3" w:rsidRPr="00AE3367">
        <w:rPr>
          <w:rFonts w:eastAsia="Times New Roman" w:cs="Times New Roman"/>
          <w:b/>
          <w:noProof/>
          <w:color w:val="000000" w:themeColor="text1"/>
          <w:sz w:val="28"/>
          <w:szCs w:val="28"/>
        </w:rPr>
        <w:t>:</w:t>
      </w:r>
    </w:p>
    <w:p w14:paraId="47A01ECB" w14:textId="77777777" w:rsidR="00FC6EAE" w:rsidRDefault="00FC6EAE" w:rsidP="00AE3367">
      <w:pPr>
        <w:rPr>
          <w:rFonts w:eastAsia="Times New Roman" w:cs="Times New Roman"/>
          <w:b/>
          <w:bCs/>
          <w:noProof/>
          <w:color w:val="000000" w:themeColor="text1"/>
          <w:sz w:val="28"/>
          <w:szCs w:val="28"/>
        </w:rPr>
      </w:pPr>
    </w:p>
    <w:p w14:paraId="61A861F2" w14:textId="77777777" w:rsidR="00AE3367" w:rsidRPr="00AE3367" w:rsidRDefault="00AE3367" w:rsidP="00AE3367">
      <w:pPr>
        <w:rPr>
          <w:rFonts w:eastAsia="Times New Roman" w:cs="Times New Roman"/>
          <w:b/>
          <w:bCs/>
          <w:noProof/>
          <w:color w:val="000000" w:themeColor="text1"/>
          <w:sz w:val="28"/>
          <w:szCs w:val="28"/>
        </w:rPr>
      </w:pPr>
    </w:p>
    <w:p w14:paraId="64CA37A6" w14:textId="77777777" w:rsidR="003E72A3" w:rsidRPr="00AE3367" w:rsidRDefault="00381941" w:rsidP="00AE3367">
      <w:pPr>
        <w:jc w:val="both"/>
        <w:rPr>
          <w:rFonts w:eastAsia="Times New Roman" w:cs="Times New Roman"/>
          <w:bCs/>
          <w:noProof/>
          <w:color w:val="000000" w:themeColor="text1"/>
          <w:sz w:val="28"/>
          <w:szCs w:val="28"/>
        </w:rPr>
      </w:pPr>
      <w:r w:rsidRPr="00AE3367">
        <w:rPr>
          <w:rFonts w:eastAsia="Times New Roman" w:cs="Times New Roman"/>
          <w:b/>
          <w:bCs/>
          <w:noProof/>
          <w:color w:val="000000" w:themeColor="text1"/>
          <w:sz w:val="28"/>
          <w:szCs w:val="28"/>
        </w:rPr>
        <w:t xml:space="preserve">PRIMERO.- </w:t>
      </w:r>
      <w:r w:rsidR="00820012" w:rsidRPr="00AE3367">
        <w:rPr>
          <w:rFonts w:eastAsia="Times New Roman" w:cs="Times New Roman"/>
          <w:bCs/>
          <w:noProof/>
          <w:color w:val="000000" w:themeColor="text1"/>
          <w:sz w:val="28"/>
          <w:szCs w:val="28"/>
        </w:rPr>
        <w:t xml:space="preserve">Ante la falta de competencia para el efecto, declararse </w:t>
      </w:r>
      <w:r w:rsidR="00820012" w:rsidRPr="00AE3367">
        <w:rPr>
          <w:rFonts w:eastAsia="Times New Roman" w:cs="Times New Roman"/>
          <w:b/>
          <w:bCs/>
          <w:noProof/>
          <w:color w:val="000000" w:themeColor="text1"/>
          <w:sz w:val="28"/>
          <w:szCs w:val="28"/>
        </w:rPr>
        <w:t xml:space="preserve">INHIBIDA </w:t>
      </w:r>
      <w:r w:rsidR="00820012" w:rsidRPr="00AE3367">
        <w:rPr>
          <w:rFonts w:eastAsia="Times New Roman" w:cs="Times New Roman"/>
          <w:bCs/>
          <w:noProof/>
          <w:color w:val="000000" w:themeColor="text1"/>
          <w:sz w:val="28"/>
          <w:szCs w:val="28"/>
        </w:rPr>
        <w:t xml:space="preserve">para pronunciarse sobre el presunto conflicto de competencia entre jurisdicciones, suscitado entre </w:t>
      </w:r>
      <w:r w:rsidR="00820012" w:rsidRPr="00AE3367">
        <w:rPr>
          <w:rFonts w:eastAsia="Times New Roman" w:cs="Times New Roman"/>
          <w:noProof/>
          <w:color w:val="000000" w:themeColor="text1"/>
          <w:sz w:val="28"/>
          <w:szCs w:val="28"/>
        </w:rPr>
        <w:t>la Procuraduría Auxiliar para Asuntos Disciplinarios y la Sala Jurisdiccional Disciplinaria del Consejo Superior de la Judicatura.</w:t>
      </w:r>
    </w:p>
    <w:p w14:paraId="3CC5B658" w14:textId="77777777" w:rsidR="003E72A3" w:rsidRPr="00AE3367" w:rsidRDefault="003E72A3" w:rsidP="00AE3367">
      <w:pPr>
        <w:jc w:val="both"/>
        <w:rPr>
          <w:rFonts w:eastAsia="Times New Roman" w:cs="Times New Roman"/>
          <w:bCs/>
          <w:noProof/>
          <w:color w:val="000000" w:themeColor="text1"/>
          <w:sz w:val="28"/>
          <w:szCs w:val="28"/>
        </w:rPr>
      </w:pPr>
    </w:p>
    <w:p w14:paraId="07F11C0C" w14:textId="1E2E3994" w:rsidR="00D32906" w:rsidRPr="00AE3367" w:rsidRDefault="003E72A3" w:rsidP="00AE3367">
      <w:pPr>
        <w:jc w:val="both"/>
        <w:rPr>
          <w:rFonts w:cs="Times New Roman"/>
          <w:sz w:val="28"/>
          <w:szCs w:val="28"/>
        </w:rPr>
      </w:pPr>
      <w:r w:rsidRPr="00AE3367">
        <w:rPr>
          <w:rFonts w:eastAsia="Times New Roman" w:cs="Times New Roman"/>
          <w:b/>
          <w:bCs/>
          <w:noProof/>
          <w:color w:val="000000" w:themeColor="text1"/>
          <w:sz w:val="28"/>
          <w:szCs w:val="28"/>
        </w:rPr>
        <w:t>SEGUNDO.-</w:t>
      </w:r>
      <w:r w:rsidR="00044E22" w:rsidRPr="00AE3367">
        <w:rPr>
          <w:rFonts w:eastAsia="Times New Roman" w:cs="Times New Roman"/>
          <w:b/>
          <w:bCs/>
          <w:noProof/>
          <w:color w:val="000000" w:themeColor="text1"/>
          <w:sz w:val="28"/>
          <w:szCs w:val="28"/>
        </w:rPr>
        <w:t xml:space="preserve"> </w:t>
      </w:r>
      <w:r w:rsidR="00D32906" w:rsidRPr="00AE3367">
        <w:rPr>
          <w:rFonts w:eastAsia="Times New Roman" w:cs="Times New Roman"/>
          <w:noProof/>
          <w:color w:val="000000" w:themeColor="text1"/>
          <w:sz w:val="28"/>
          <w:szCs w:val="28"/>
        </w:rPr>
        <w:t>En atención a la parte considerativa de esta providencia,</w:t>
      </w:r>
      <w:r w:rsidR="00D32906" w:rsidRPr="00AE3367">
        <w:rPr>
          <w:rFonts w:eastAsia="Times New Roman" w:cs="Times New Roman"/>
          <w:b/>
          <w:bCs/>
          <w:noProof/>
          <w:color w:val="000000" w:themeColor="text1"/>
          <w:sz w:val="28"/>
          <w:szCs w:val="28"/>
        </w:rPr>
        <w:t xml:space="preserve"> </w:t>
      </w:r>
      <w:r w:rsidR="00AC3843" w:rsidRPr="00AE3367">
        <w:rPr>
          <w:rFonts w:eastAsia="Times New Roman" w:cs="Times New Roman"/>
          <w:b/>
          <w:bCs/>
          <w:noProof/>
          <w:color w:val="000000" w:themeColor="text1"/>
          <w:sz w:val="28"/>
          <w:szCs w:val="28"/>
        </w:rPr>
        <w:t>REMITIR</w:t>
      </w:r>
      <w:r w:rsidR="00820012" w:rsidRPr="00AE3367">
        <w:rPr>
          <w:rFonts w:eastAsia="Times New Roman" w:cs="Times New Roman"/>
          <w:bCs/>
          <w:noProof/>
          <w:color w:val="000000" w:themeColor="text1"/>
          <w:sz w:val="28"/>
          <w:szCs w:val="28"/>
        </w:rPr>
        <w:t xml:space="preserve"> el expediente CJU-0049 a </w:t>
      </w:r>
      <w:r w:rsidR="00D32906" w:rsidRPr="00AE3367">
        <w:rPr>
          <w:rFonts w:eastAsia="Times New Roman" w:cs="Times New Roman"/>
          <w:bCs/>
          <w:noProof/>
          <w:color w:val="000000" w:themeColor="text1"/>
          <w:sz w:val="28"/>
          <w:szCs w:val="28"/>
        </w:rPr>
        <w:t xml:space="preserve">la </w:t>
      </w:r>
      <w:r w:rsidR="00D32906" w:rsidRPr="00AE3367">
        <w:rPr>
          <w:rFonts w:cs="Times New Roman"/>
          <w:sz w:val="28"/>
          <w:szCs w:val="28"/>
        </w:rPr>
        <w:t xml:space="preserve">Comisión de Ética y Estatuto del Congresista de la Cámara de Representantes, a fin de que se pronuncie acerca de su competencia para conocer de la </w:t>
      </w:r>
      <w:r w:rsidR="00D32906" w:rsidRPr="00AE3367">
        <w:rPr>
          <w:rFonts w:eastAsia="Times New Roman" w:cs="Times New Roman"/>
          <w:noProof/>
          <w:color w:val="000000" w:themeColor="text1"/>
          <w:sz w:val="28"/>
          <w:szCs w:val="28"/>
        </w:rPr>
        <w:t xml:space="preserve">queja disciplinaria formulada por el </w:t>
      </w:r>
      <w:r w:rsidR="003F6B3D" w:rsidRPr="00AE3367">
        <w:rPr>
          <w:rFonts w:eastAsia="Times New Roman" w:cs="Times New Roman"/>
          <w:noProof/>
          <w:color w:val="000000" w:themeColor="text1"/>
          <w:sz w:val="28"/>
          <w:szCs w:val="28"/>
        </w:rPr>
        <w:t>apoderado del exmagistrado Jorge Pretelt Chaljub</w:t>
      </w:r>
      <w:r w:rsidR="00D32906" w:rsidRPr="00AE3367">
        <w:rPr>
          <w:rFonts w:eastAsia="Times New Roman" w:cs="Times New Roman"/>
          <w:noProof/>
          <w:color w:val="000000" w:themeColor="text1"/>
          <w:sz w:val="28"/>
          <w:szCs w:val="28"/>
        </w:rPr>
        <w:t xml:space="preserve">, </w:t>
      </w:r>
      <w:r w:rsidR="003F6B3D" w:rsidRPr="00AE3367">
        <w:rPr>
          <w:rFonts w:eastAsia="Times New Roman" w:cs="Times New Roman"/>
          <w:noProof/>
          <w:color w:val="000000" w:themeColor="text1"/>
          <w:sz w:val="28"/>
          <w:szCs w:val="28"/>
        </w:rPr>
        <w:t xml:space="preserve">en </w:t>
      </w:r>
      <w:r w:rsidR="00D32906" w:rsidRPr="00AE3367">
        <w:rPr>
          <w:rFonts w:eastAsia="Times New Roman" w:cs="Times New Roman"/>
          <w:noProof/>
          <w:color w:val="000000" w:themeColor="text1"/>
          <w:sz w:val="28"/>
          <w:szCs w:val="28"/>
        </w:rPr>
        <w:t xml:space="preserve">contra </w:t>
      </w:r>
      <w:r w:rsidR="003F6B3D" w:rsidRPr="00AE3367">
        <w:rPr>
          <w:rFonts w:eastAsia="Times New Roman" w:cs="Times New Roman"/>
          <w:noProof/>
          <w:color w:val="000000" w:themeColor="text1"/>
          <w:sz w:val="28"/>
          <w:szCs w:val="28"/>
        </w:rPr>
        <w:t>d</w:t>
      </w:r>
      <w:r w:rsidR="00D32906" w:rsidRPr="00AE3367">
        <w:rPr>
          <w:rFonts w:eastAsia="Times New Roman" w:cs="Times New Roman"/>
          <w:noProof/>
          <w:color w:val="000000" w:themeColor="text1"/>
          <w:sz w:val="28"/>
          <w:szCs w:val="28"/>
        </w:rPr>
        <w:t xml:space="preserve">el congresista </w:t>
      </w:r>
      <w:r w:rsidR="00D32906" w:rsidRPr="00AE3367">
        <w:rPr>
          <w:rFonts w:cs="Times New Roman"/>
          <w:bCs/>
          <w:noProof/>
          <w:sz w:val="28"/>
          <w:szCs w:val="28"/>
        </w:rPr>
        <w:t>Julián Bedoya Pulgarín</w:t>
      </w:r>
      <w:r w:rsidR="00D32906" w:rsidRPr="00AE3367">
        <w:rPr>
          <w:rFonts w:cs="Times New Roman"/>
          <w:sz w:val="28"/>
          <w:szCs w:val="28"/>
        </w:rPr>
        <w:t xml:space="preserve">. En caso de que dicha Comisión niegue su competencia, ésta deberá remitir el asunto a la Sala Penal de la Corte Suprema de Justicia para que, de conformidad con lo dispuesto en el artículo 23 de la Ley 1828 de 2017, defina el órgano al cual le corresponde conocer de la mencionada causa disciplinaria. </w:t>
      </w:r>
    </w:p>
    <w:p w14:paraId="47CDB62D" w14:textId="77777777" w:rsidR="00D32906" w:rsidRPr="00AE3367" w:rsidRDefault="00D32906" w:rsidP="00AE3367">
      <w:pPr>
        <w:jc w:val="both"/>
        <w:rPr>
          <w:rFonts w:cs="Times New Roman"/>
          <w:sz w:val="28"/>
          <w:szCs w:val="28"/>
        </w:rPr>
      </w:pPr>
    </w:p>
    <w:p w14:paraId="39D2B091" w14:textId="77777777" w:rsidR="006E78B7" w:rsidRPr="00AE3367" w:rsidRDefault="00F44117" w:rsidP="00AE3367">
      <w:pPr>
        <w:jc w:val="both"/>
        <w:rPr>
          <w:rFonts w:cs="Times New Roman"/>
          <w:sz w:val="28"/>
          <w:szCs w:val="28"/>
        </w:rPr>
      </w:pPr>
      <w:r w:rsidRPr="00AE3367">
        <w:rPr>
          <w:rFonts w:eastAsia="Times New Roman" w:cs="Times New Roman"/>
          <w:b/>
          <w:bCs/>
          <w:noProof/>
          <w:color w:val="000000" w:themeColor="text1"/>
          <w:sz w:val="28"/>
          <w:szCs w:val="28"/>
        </w:rPr>
        <w:t>TERCERO.-</w:t>
      </w:r>
      <w:r w:rsidR="003E72A3" w:rsidRPr="00AE3367">
        <w:rPr>
          <w:rFonts w:eastAsia="Times New Roman" w:cs="Times New Roman"/>
          <w:b/>
          <w:bCs/>
          <w:noProof/>
          <w:color w:val="000000" w:themeColor="text1"/>
          <w:sz w:val="28"/>
          <w:szCs w:val="28"/>
        </w:rPr>
        <w:t xml:space="preserve"> </w:t>
      </w:r>
      <w:r w:rsidR="00820012" w:rsidRPr="00AE3367">
        <w:rPr>
          <w:rFonts w:eastAsia="Times New Roman" w:cs="Times New Roman"/>
          <w:bCs/>
          <w:noProof/>
          <w:color w:val="000000" w:themeColor="text1"/>
          <w:sz w:val="28"/>
          <w:szCs w:val="28"/>
        </w:rPr>
        <w:t>P</w:t>
      </w:r>
      <w:r w:rsidR="00044E22" w:rsidRPr="00AE3367">
        <w:rPr>
          <w:rFonts w:eastAsia="Times New Roman" w:cs="Times New Roman"/>
          <w:bCs/>
          <w:noProof/>
          <w:color w:val="000000" w:themeColor="text1"/>
          <w:sz w:val="28"/>
          <w:szCs w:val="28"/>
        </w:rPr>
        <w:t xml:space="preserve">or la Secretaría General de la Corte Constitucional, </w:t>
      </w:r>
      <w:r w:rsidR="00381941" w:rsidRPr="00AE3367">
        <w:rPr>
          <w:rFonts w:eastAsia="Times New Roman" w:cs="Times New Roman"/>
          <w:b/>
          <w:bCs/>
          <w:noProof/>
          <w:color w:val="000000" w:themeColor="text1"/>
          <w:sz w:val="28"/>
          <w:szCs w:val="28"/>
        </w:rPr>
        <w:t>COMUNICAR</w:t>
      </w:r>
      <w:r w:rsidR="006E78B7" w:rsidRPr="00AE3367">
        <w:rPr>
          <w:rFonts w:eastAsia="Times New Roman" w:cs="Times New Roman"/>
          <w:b/>
          <w:bCs/>
          <w:noProof/>
          <w:color w:val="000000" w:themeColor="text1"/>
          <w:sz w:val="28"/>
          <w:szCs w:val="28"/>
        </w:rPr>
        <w:t xml:space="preserve"> </w:t>
      </w:r>
      <w:r w:rsidR="006E78B7" w:rsidRPr="00AE3367">
        <w:rPr>
          <w:rFonts w:eastAsia="Times New Roman" w:cs="Times New Roman"/>
          <w:bCs/>
          <w:noProof/>
          <w:color w:val="000000" w:themeColor="text1"/>
          <w:sz w:val="28"/>
          <w:szCs w:val="28"/>
        </w:rPr>
        <w:t xml:space="preserve">la presente providencia </w:t>
      </w:r>
      <w:r w:rsidR="00820012" w:rsidRPr="00AE3367">
        <w:rPr>
          <w:rFonts w:eastAsia="Times New Roman" w:cs="Times New Roman"/>
          <w:bCs/>
          <w:noProof/>
          <w:color w:val="000000" w:themeColor="text1"/>
          <w:sz w:val="28"/>
          <w:szCs w:val="28"/>
        </w:rPr>
        <w:t xml:space="preserve">a la </w:t>
      </w:r>
      <w:r w:rsidR="00820012" w:rsidRPr="00AE3367">
        <w:rPr>
          <w:rFonts w:eastAsia="Times New Roman" w:cs="Times New Roman"/>
          <w:noProof/>
          <w:color w:val="000000" w:themeColor="text1"/>
          <w:sz w:val="28"/>
          <w:szCs w:val="28"/>
        </w:rPr>
        <w:t>Procuraduría Auxiliar para Asuntos Disciplinarios</w:t>
      </w:r>
      <w:r w:rsidR="00437928" w:rsidRPr="00AE3367">
        <w:rPr>
          <w:rFonts w:eastAsia="Times New Roman" w:cs="Times New Roman"/>
          <w:noProof/>
          <w:color w:val="000000" w:themeColor="text1"/>
          <w:sz w:val="28"/>
          <w:szCs w:val="28"/>
        </w:rPr>
        <w:t xml:space="preserve"> y a la Sala Jurisdiccional Disciplinaria del Consejo Superior de la Judicatura</w:t>
      </w:r>
      <w:r w:rsidR="006E78B7" w:rsidRPr="00AE3367">
        <w:rPr>
          <w:rFonts w:eastAsia="Times New Roman" w:cs="Times New Roman"/>
          <w:noProof/>
          <w:color w:val="000000" w:themeColor="text1"/>
          <w:sz w:val="28"/>
          <w:szCs w:val="28"/>
        </w:rPr>
        <w:t>.</w:t>
      </w:r>
      <w:r w:rsidR="006E78B7" w:rsidRPr="00AE3367">
        <w:rPr>
          <w:rFonts w:eastAsia="Times New Roman" w:cs="Times New Roman"/>
          <w:bCs/>
          <w:noProof/>
          <w:color w:val="000000" w:themeColor="text1"/>
          <w:sz w:val="28"/>
          <w:szCs w:val="28"/>
        </w:rPr>
        <w:t xml:space="preserve"> </w:t>
      </w:r>
    </w:p>
    <w:p w14:paraId="62CC8ACF" w14:textId="77777777" w:rsidR="00FC6EAE" w:rsidRPr="00AE3367" w:rsidRDefault="00FC6EAE" w:rsidP="00AE3367">
      <w:pPr>
        <w:autoSpaceDE w:val="0"/>
        <w:jc w:val="both"/>
        <w:rPr>
          <w:rFonts w:eastAsia="Calibri" w:cs="Times New Roman"/>
          <w:noProof/>
          <w:color w:val="000000" w:themeColor="text1"/>
          <w:sz w:val="28"/>
          <w:szCs w:val="28"/>
        </w:rPr>
      </w:pPr>
      <w:r w:rsidRPr="00AE3367">
        <w:rPr>
          <w:rFonts w:eastAsia="Calibri" w:cs="Times New Roman"/>
          <w:noProof/>
          <w:color w:val="000000" w:themeColor="text1"/>
          <w:sz w:val="28"/>
          <w:szCs w:val="28"/>
        </w:rPr>
        <w:t xml:space="preserve"> </w:t>
      </w:r>
    </w:p>
    <w:p w14:paraId="5BF602C3" w14:textId="77777777" w:rsidR="00FC6EAE" w:rsidRPr="00AE3367" w:rsidRDefault="00FC6EAE" w:rsidP="00AE3367">
      <w:pPr>
        <w:jc w:val="both"/>
        <w:rPr>
          <w:rFonts w:eastAsia="Calibri" w:cs="Times New Roman"/>
          <w:noProof/>
          <w:color w:val="000000" w:themeColor="text1"/>
          <w:sz w:val="28"/>
          <w:szCs w:val="28"/>
        </w:rPr>
      </w:pPr>
      <w:r w:rsidRPr="00AE3367">
        <w:rPr>
          <w:rFonts w:eastAsia="Calibri" w:cs="Times New Roman"/>
          <w:noProof/>
          <w:color w:val="000000" w:themeColor="text1"/>
          <w:sz w:val="28"/>
          <w:szCs w:val="28"/>
        </w:rPr>
        <w:t>Comuníquese y cúmplase</w:t>
      </w:r>
    </w:p>
    <w:p w14:paraId="71E44575" w14:textId="77777777" w:rsidR="00D12A02" w:rsidRPr="00AE3367" w:rsidRDefault="00D12A02" w:rsidP="00AE3367">
      <w:pPr>
        <w:widowControl w:val="0"/>
        <w:pBdr>
          <w:top w:val="nil"/>
          <w:left w:val="nil"/>
          <w:bottom w:val="nil"/>
          <w:right w:val="nil"/>
          <w:between w:val="nil"/>
        </w:pBdr>
        <w:jc w:val="center"/>
        <w:rPr>
          <w:rFonts w:eastAsia="Times New Roman" w:cs="Times New Roman"/>
          <w:sz w:val="28"/>
          <w:szCs w:val="28"/>
          <w:lang w:eastAsia="es-ES"/>
        </w:rPr>
      </w:pPr>
    </w:p>
    <w:p w14:paraId="5D498759" w14:textId="77777777" w:rsidR="00D12A02" w:rsidRPr="00AE3367" w:rsidRDefault="00D12A02" w:rsidP="00AE3367">
      <w:pPr>
        <w:widowControl w:val="0"/>
        <w:pBdr>
          <w:top w:val="nil"/>
          <w:left w:val="nil"/>
          <w:bottom w:val="nil"/>
          <w:right w:val="nil"/>
          <w:between w:val="nil"/>
        </w:pBdr>
        <w:jc w:val="center"/>
        <w:rPr>
          <w:rFonts w:eastAsia="Times New Roman" w:cs="Times New Roman"/>
          <w:sz w:val="28"/>
          <w:szCs w:val="28"/>
          <w:lang w:eastAsia="es-ES"/>
        </w:rPr>
      </w:pPr>
    </w:p>
    <w:p w14:paraId="68DA4642" w14:textId="77777777" w:rsidR="00D12A02" w:rsidRPr="00AE3367" w:rsidRDefault="00D12A02" w:rsidP="00AE3367">
      <w:pPr>
        <w:widowControl w:val="0"/>
        <w:pBdr>
          <w:top w:val="nil"/>
          <w:left w:val="nil"/>
          <w:bottom w:val="nil"/>
          <w:right w:val="nil"/>
          <w:between w:val="nil"/>
        </w:pBdr>
        <w:jc w:val="center"/>
        <w:rPr>
          <w:rFonts w:eastAsia="Times New Roman" w:cs="Times New Roman"/>
          <w:sz w:val="28"/>
          <w:szCs w:val="28"/>
          <w:lang w:eastAsia="es-ES"/>
        </w:rPr>
      </w:pPr>
    </w:p>
    <w:p w14:paraId="18C64585"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ALBERTO ROJAS RÍOS</w:t>
      </w:r>
    </w:p>
    <w:p w14:paraId="0965B63E"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Presidente</w:t>
      </w:r>
    </w:p>
    <w:p w14:paraId="1E0D2179" w14:textId="77777777" w:rsidR="00D12A02" w:rsidRPr="00AE3367" w:rsidRDefault="00D12A02" w:rsidP="00AE3367">
      <w:pPr>
        <w:widowControl w:val="0"/>
        <w:jc w:val="center"/>
        <w:rPr>
          <w:rFonts w:eastAsia="Times New Roman" w:cs="Times New Roman"/>
          <w:i/>
          <w:iCs/>
          <w:sz w:val="28"/>
          <w:szCs w:val="28"/>
          <w:lang w:eastAsia="es-ES"/>
        </w:rPr>
      </w:pPr>
      <w:r w:rsidRPr="00AE3367">
        <w:rPr>
          <w:rFonts w:eastAsia="Times New Roman" w:cs="Times New Roman"/>
          <w:i/>
          <w:iCs/>
          <w:sz w:val="28"/>
          <w:szCs w:val="28"/>
          <w:lang w:eastAsia="es-ES"/>
        </w:rPr>
        <w:t>Con aclaración de voto</w:t>
      </w:r>
    </w:p>
    <w:p w14:paraId="2F11A68E" w14:textId="77777777" w:rsidR="00D12A02" w:rsidRPr="00AE3367" w:rsidRDefault="00D12A02" w:rsidP="00AE3367">
      <w:pPr>
        <w:widowControl w:val="0"/>
        <w:jc w:val="center"/>
        <w:rPr>
          <w:rFonts w:eastAsia="Times New Roman" w:cs="Times New Roman"/>
          <w:sz w:val="28"/>
          <w:szCs w:val="28"/>
          <w:lang w:eastAsia="es-ES"/>
        </w:rPr>
      </w:pPr>
    </w:p>
    <w:p w14:paraId="532F5473" w14:textId="77777777" w:rsidR="00D12A02" w:rsidRPr="00AE3367" w:rsidRDefault="00D12A02" w:rsidP="00AE3367">
      <w:pPr>
        <w:widowControl w:val="0"/>
        <w:jc w:val="center"/>
        <w:rPr>
          <w:rFonts w:eastAsia="Times New Roman" w:cs="Times New Roman"/>
          <w:sz w:val="28"/>
          <w:szCs w:val="28"/>
          <w:lang w:eastAsia="es-ES"/>
        </w:rPr>
      </w:pPr>
    </w:p>
    <w:p w14:paraId="59C7A8D3" w14:textId="77777777" w:rsidR="00D12A02" w:rsidRPr="00AE3367" w:rsidRDefault="00D12A02" w:rsidP="00AE3367">
      <w:pPr>
        <w:widowControl w:val="0"/>
        <w:jc w:val="center"/>
        <w:rPr>
          <w:rFonts w:eastAsia="Times New Roman" w:cs="Times New Roman"/>
          <w:sz w:val="28"/>
          <w:szCs w:val="28"/>
          <w:lang w:eastAsia="es-ES"/>
        </w:rPr>
      </w:pPr>
    </w:p>
    <w:p w14:paraId="5BA499D1"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CARLOS BERNAL PULIDO</w:t>
      </w:r>
    </w:p>
    <w:p w14:paraId="54ADC7BB"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Magistrado</w:t>
      </w:r>
    </w:p>
    <w:p w14:paraId="29D444D9" w14:textId="77777777" w:rsidR="00D12A02" w:rsidRPr="00AE3367" w:rsidRDefault="00D12A02" w:rsidP="00AE3367">
      <w:pPr>
        <w:widowControl w:val="0"/>
        <w:jc w:val="center"/>
        <w:rPr>
          <w:rFonts w:eastAsia="Times New Roman" w:cs="Times New Roman"/>
          <w:sz w:val="28"/>
          <w:szCs w:val="28"/>
          <w:lang w:eastAsia="es-ES"/>
        </w:rPr>
      </w:pPr>
    </w:p>
    <w:p w14:paraId="6DABC807" w14:textId="77777777" w:rsidR="00D12A02" w:rsidRPr="00AE3367" w:rsidRDefault="00D12A02" w:rsidP="00AE3367">
      <w:pPr>
        <w:widowControl w:val="0"/>
        <w:jc w:val="center"/>
        <w:rPr>
          <w:rFonts w:eastAsia="Times New Roman" w:cs="Times New Roman"/>
          <w:sz w:val="28"/>
          <w:szCs w:val="28"/>
          <w:lang w:eastAsia="es-ES"/>
        </w:rPr>
      </w:pPr>
    </w:p>
    <w:p w14:paraId="7225A8C1" w14:textId="77777777" w:rsidR="00D12A02" w:rsidRPr="00AE3367" w:rsidRDefault="00D12A02" w:rsidP="00AE3367">
      <w:pPr>
        <w:widowControl w:val="0"/>
        <w:jc w:val="center"/>
        <w:rPr>
          <w:rFonts w:eastAsia="Times New Roman" w:cs="Times New Roman"/>
          <w:sz w:val="28"/>
          <w:szCs w:val="28"/>
          <w:lang w:eastAsia="es-ES"/>
        </w:rPr>
      </w:pPr>
    </w:p>
    <w:p w14:paraId="29C7F55E"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DIANA FAJARDO RIVERA</w:t>
      </w:r>
    </w:p>
    <w:p w14:paraId="771CD75C"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Magistrada</w:t>
      </w:r>
    </w:p>
    <w:p w14:paraId="287ED7D0" w14:textId="77777777" w:rsidR="00D12A02" w:rsidRPr="00AE3367" w:rsidRDefault="00D12A02" w:rsidP="00AE3367">
      <w:pPr>
        <w:widowControl w:val="0"/>
        <w:jc w:val="center"/>
        <w:rPr>
          <w:rFonts w:eastAsia="Times New Roman" w:cs="Times New Roman"/>
          <w:sz w:val="28"/>
          <w:szCs w:val="28"/>
          <w:lang w:eastAsia="es-ES"/>
        </w:rPr>
      </w:pPr>
    </w:p>
    <w:p w14:paraId="7F2B200C" w14:textId="77777777" w:rsidR="00D12A02" w:rsidRPr="00AE3367" w:rsidRDefault="00D12A02" w:rsidP="00AE3367">
      <w:pPr>
        <w:widowControl w:val="0"/>
        <w:jc w:val="center"/>
        <w:rPr>
          <w:rFonts w:eastAsia="Times New Roman" w:cs="Times New Roman"/>
          <w:sz w:val="28"/>
          <w:szCs w:val="28"/>
          <w:lang w:eastAsia="es-ES"/>
        </w:rPr>
      </w:pPr>
    </w:p>
    <w:p w14:paraId="3479793A" w14:textId="77777777" w:rsidR="00D12A02" w:rsidRPr="00AE3367" w:rsidRDefault="00D12A02" w:rsidP="00AE3367">
      <w:pPr>
        <w:widowControl w:val="0"/>
        <w:jc w:val="center"/>
        <w:rPr>
          <w:rFonts w:eastAsia="Times New Roman" w:cs="Times New Roman"/>
          <w:sz w:val="28"/>
          <w:szCs w:val="28"/>
          <w:lang w:eastAsia="es-ES"/>
        </w:rPr>
      </w:pPr>
    </w:p>
    <w:p w14:paraId="332C6C21"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LUIS GUILLERMO GUERRERO PÉREZ</w:t>
      </w:r>
    </w:p>
    <w:p w14:paraId="4A3D0175"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Magistrado</w:t>
      </w:r>
    </w:p>
    <w:p w14:paraId="216DCCAF" w14:textId="77777777" w:rsidR="00D12A02" w:rsidRPr="00AE3367" w:rsidRDefault="00D12A02" w:rsidP="00AE3367">
      <w:pPr>
        <w:widowControl w:val="0"/>
        <w:jc w:val="center"/>
        <w:rPr>
          <w:rFonts w:eastAsia="Times New Roman" w:cs="Times New Roman"/>
          <w:i/>
          <w:iCs/>
          <w:sz w:val="28"/>
          <w:szCs w:val="28"/>
          <w:lang w:eastAsia="es-ES"/>
        </w:rPr>
      </w:pPr>
      <w:r w:rsidRPr="00AE3367">
        <w:rPr>
          <w:rFonts w:eastAsia="Times New Roman" w:cs="Times New Roman"/>
          <w:i/>
          <w:iCs/>
          <w:sz w:val="28"/>
          <w:szCs w:val="28"/>
          <w:lang w:eastAsia="es-ES"/>
        </w:rPr>
        <w:t>Con salvamento de voto</w:t>
      </w:r>
    </w:p>
    <w:p w14:paraId="0C520DA0" w14:textId="77777777" w:rsidR="00D12A02" w:rsidRPr="00AE3367" w:rsidRDefault="00D12A02" w:rsidP="00AE3367">
      <w:pPr>
        <w:widowControl w:val="0"/>
        <w:jc w:val="center"/>
        <w:rPr>
          <w:rFonts w:eastAsia="Times New Roman" w:cs="Times New Roman"/>
          <w:sz w:val="28"/>
          <w:szCs w:val="28"/>
          <w:lang w:eastAsia="es-ES"/>
        </w:rPr>
      </w:pPr>
    </w:p>
    <w:p w14:paraId="42E16181" w14:textId="77777777" w:rsidR="00D12A02" w:rsidRPr="00AE3367" w:rsidRDefault="00D12A02" w:rsidP="00AE3367">
      <w:pPr>
        <w:widowControl w:val="0"/>
        <w:jc w:val="center"/>
        <w:rPr>
          <w:rFonts w:eastAsia="Times New Roman" w:cs="Times New Roman"/>
          <w:sz w:val="28"/>
          <w:szCs w:val="28"/>
          <w:lang w:eastAsia="es-ES"/>
        </w:rPr>
      </w:pPr>
    </w:p>
    <w:p w14:paraId="25653ED2" w14:textId="77777777" w:rsidR="00D12A02" w:rsidRPr="00AE3367" w:rsidRDefault="00D12A02" w:rsidP="00AE3367">
      <w:pPr>
        <w:widowControl w:val="0"/>
        <w:jc w:val="center"/>
        <w:rPr>
          <w:rFonts w:eastAsia="Times New Roman" w:cs="Times New Roman"/>
          <w:sz w:val="28"/>
          <w:szCs w:val="28"/>
          <w:lang w:eastAsia="es-ES"/>
        </w:rPr>
      </w:pPr>
    </w:p>
    <w:p w14:paraId="3827D355"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ALEJANDRO LINARES CANTILLO</w:t>
      </w:r>
    </w:p>
    <w:p w14:paraId="6AE343EF"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Magistrado</w:t>
      </w:r>
    </w:p>
    <w:p w14:paraId="2BB222C8" w14:textId="77777777" w:rsidR="00D12A02" w:rsidRPr="00AE3367" w:rsidRDefault="00D12A02" w:rsidP="00AE3367">
      <w:pPr>
        <w:widowControl w:val="0"/>
        <w:jc w:val="center"/>
        <w:rPr>
          <w:rFonts w:eastAsia="Times New Roman" w:cs="Times New Roman"/>
          <w:sz w:val="28"/>
          <w:szCs w:val="28"/>
          <w:lang w:eastAsia="es-ES"/>
        </w:rPr>
      </w:pPr>
    </w:p>
    <w:p w14:paraId="6BED2F57" w14:textId="77777777" w:rsidR="00D12A02" w:rsidRPr="00AE3367" w:rsidRDefault="00D12A02" w:rsidP="00AE3367">
      <w:pPr>
        <w:widowControl w:val="0"/>
        <w:jc w:val="center"/>
        <w:rPr>
          <w:rFonts w:eastAsia="Times New Roman" w:cs="Times New Roman"/>
          <w:sz w:val="28"/>
          <w:szCs w:val="28"/>
          <w:lang w:eastAsia="es-ES"/>
        </w:rPr>
      </w:pPr>
    </w:p>
    <w:p w14:paraId="01331685" w14:textId="77777777" w:rsidR="00D12A02" w:rsidRPr="00AE3367" w:rsidRDefault="00D12A02" w:rsidP="00AE3367">
      <w:pPr>
        <w:widowControl w:val="0"/>
        <w:jc w:val="center"/>
        <w:rPr>
          <w:rFonts w:eastAsia="Times New Roman" w:cs="Times New Roman"/>
          <w:sz w:val="28"/>
          <w:szCs w:val="28"/>
          <w:lang w:eastAsia="es-ES"/>
        </w:rPr>
      </w:pPr>
    </w:p>
    <w:p w14:paraId="1FF3AFE7"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ANTONIO JOSÉ LIZARAZO OCAMPO</w:t>
      </w:r>
    </w:p>
    <w:p w14:paraId="62B0049D"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Magistrado</w:t>
      </w:r>
    </w:p>
    <w:p w14:paraId="15ADDC42" w14:textId="77777777" w:rsidR="00D12A02" w:rsidRPr="00AE3367" w:rsidRDefault="00D12A02" w:rsidP="00AE3367">
      <w:pPr>
        <w:widowControl w:val="0"/>
        <w:jc w:val="center"/>
        <w:rPr>
          <w:rFonts w:eastAsia="Times New Roman" w:cs="Times New Roman"/>
          <w:i/>
          <w:iCs/>
          <w:sz w:val="28"/>
          <w:szCs w:val="28"/>
          <w:lang w:eastAsia="es-ES"/>
        </w:rPr>
      </w:pPr>
      <w:r w:rsidRPr="00AE3367">
        <w:rPr>
          <w:rFonts w:eastAsia="Times New Roman" w:cs="Times New Roman"/>
          <w:i/>
          <w:iCs/>
          <w:sz w:val="28"/>
          <w:szCs w:val="28"/>
          <w:lang w:eastAsia="es-ES"/>
        </w:rPr>
        <w:t>Con aclaración de voto</w:t>
      </w:r>
    </w:p>
    <w:p w14:paraId="49E78A45" w14:textId="77777777" w:rsidR="00D12A02" w:rsidRPr="00AE3367" w:rsidRDefault="00D12A02" w:rsidP="00AE3367">
      <w:pPr>
        <w:widowControl w:val="0"/>
        <w:jc w:val="center"/>
        <w:rPr>
          <w:rFonts w:eastAsia="Times New Roman" w:cs="Times New Roman"/>
          <w:sz w:val="28"/>
          <w:szCs w:val="28"/>
          <w:lang w:eastAsia="es-ES"/>
        </w:rPr>
      </w:pPr>
    </w:p>
    <w:p w14:paraId="52B05F0B" w14:textId="77777777" w:rsidR="00D12A02" w:rsidRPr="00AE3367" w:rsidRDefault="00D12A02" w:rsidP="00AE3367">
      <w:pPr>
        <w:widowControl w:val="0"/>
        <w:jc w:val="center"/>
        <w:rPr>
          <w:rFonts w:eastAsia="Times New Roman" w:cs="Times New Roman"/>
          <w:sz w:val="28"/>
          <w:szCs w:val="28"/>
          <w:lang w:eastAsia="es-ES"/>
        </w:rPr>
      </w:pPr>
    </w:p>
    <w:p w14:paraId="7FE6DAFA" w14:textId="77777777" w:rsidR="00D12A02" w:rsidRPr="00AE3367" w:rsidRDefault="00D12A02" w:rsidP="00AE3367">
      <w:pPr>
        <w:widowControl w:val="0"/>
        <w:jc w:val="center"/>
        <w:rPr>
          <w:rFonts w:eastAsia="Times New Roman" w:cs="Times New Roman"/>
          <w:sz w:val="28"/>
          <w:szCs w:val="28"/>
          <w:lang w:eastAsia="es-ES"/>
        </w:rPr>
      </w:pPr>
    </w:p>
    <w:p w14:paraId="566B9FE1"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GLORIA STELLA ORTIZ DELGADO</w:t>
      </w:r>
    </w:p>
    <w:p w14:paraId="79E16CB3"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Magistrada</w:t>
      </w:r>
    </w:p>
    <w:p w14:paraId="581419CB" w14:textId="77777777" w:rsidR="00D12A02" w:rsidRPr="00AE3367" w:rsidRDefault="00D12A02" w:rsidP="00AE3367">
      <w:pPr>
        <w:widowControl w:val="0"/>
        <w:jc w:val="center"/>
        <w:rPr>
          <w:rFonts w:eastAsia="Times New Roman" w:cs="Times New Roman"/>
          <w:sz w:val="28"/>
          <w:szCs w:val="28"/>
          <w:lang w:eastAsia="es-ES"/>
        </w:rPr>
      </w:pPr>
    </w:p>
    <w:p w14:paraId="162E69E0" w14:textId="77777777" w:rsidR="00D12A02" w:rsidRPr="00AE3367" w:rsidRDefault="00D12A02" w:rsidP="00AE3367">
      <w:pPr>
        <w:widowControl w:val="0"/>
        <w:jc w:val="center"/>
        <w:rPr>
          <w:rFonts w:eastAsia="Times New Roman" w:cs="Times New Roman"/>
          <w:sz w:val="28"/>
          <w:szCs w:val="28"/>
          <w:lang w:eastAsia="es-ES"/>
        </w:rPr>
      </w:pPr>
    </w:p>
    <w:p w14:paraId="4E4C19E5" w14:textId="77777777" w:rsidR="00D12A02" w:rsidRPr="00AE3367" w:rsidRDefault="00D12A02" w:rsidP="00AE3367">
      <w:pPr>
        <w:widowControl w:val="0"/>
        <w:jc w:val="center"/>
        <w:rPr>
          <w:rFonts w:eastAsia="Times New Roman" w:cs="Times New Roman"/>
          <w:sz w:val="28"/>
          <w:szCs w:val="28"/>
          <w:lang w:eastAsia="es-ES"/>
        </w:rPr>
      </w:pPr>
    </w:p>
    <w:p w14:paraId="588A3C6F"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CRISTINA PARDO SCHLESINGER</w:t>
      </w:r>
    </w:p>
    <w:p w14:paraId="4A3D4AC9"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Magistrada</w:t>
      </w:r>
    </w:p>
    <w:p w14:paraId="2C6AE068" w14:textId="77777777" w:rsidR="00D12A02" w:rsidRPr="00AE3367" w:rsidRDefault="00D12A02" w:rsidP="00AE3367">
      <w:pPr>
        <w:widowControl w:val="0"/>
        <w:jc w:val="center"/>
        <w:rPr>
          <w:rFonts w:eastAsia="Times New Roman" w:cs="Times New Roman"/>
          <w:sz w:val="28"/>
          <w:szCs w:val="28"/>
          <w:lang w:eastAsia="es-ES"/>
        </w:rPr>
      </w:pPr>
    </w:p>
    <w:p w14:paraId="56A290E7" w14:textId="77777777" w:rsidR="00D12A02" w:rsidRPr="00AE3367" w:rsidRDefault="00D12A02" w:rsidP="00AE3367">
      <w:pPr>
        <w:widowControl w:val="0"/>
        <w:jc w:val="center"/>
        <w:rPr>
          <w:rFonts w:eastAsia="Times New Roman" w:cs="Times New Roman"/>
          <w:sz w:val="28"/>
          <w:szCs w:val="28"/>
          <w:lang w:eastAsia="es-ES"/>
        </w:rPr>
      </w:pPr>
    </w:p>
    <w:p w14:paraId="359DC19D" w14:textId="77777777" w:rsidR="00D12A02" w:rsidRPr="00AE3367" w:rsidRDefault="00D12A02" w:rsidP="00AE3367">
      <w:pPr>
        <w:widowControl w:val="0"/>
        <w:jc w:val="center"/>
        <w:rPr>
          <w:rFonts w:eastAsia="Times New Roman" w:cs="Times New Roman"/>
          <w:sz w:val="28"/>
          <w:szCs w:val="28"/>
          <w:lang w:eastAsia="es-ES"/>
        </w:rPr>
      </w:pPr>
    </w:p>
    <w:p w14:paraId="001979C2"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JOSÉ FERNANDO REYES CUARTAS</w:t>
      </w:r>
    </w:p>
    <w:p w14:paraId="6C60B328"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Magistrado</w:t>
      </w:r>
    </w:p>
    <w:p w14:paraId="384BD57C" w14:textId="77777777" w:rsidR="00D12A02" w:rsidRPr="00AE3367" w:rsidRDefault="00D12A02" w:rsidP="00AE3367">
      <w:pPr>
        <w:widowControl w:val="0"/>
        <w:jc w:val="center"/>
        <w:rPr>
          <w:rFonts w:eastAsia="Times New Roman" w:cs="Times New Roman"/>
          <w:sz w:val="28"/>
          <w:szCs w:val="28"/>
          <w:lang w:eastAsia="es-ES"/>
        </w:rPr>
      </w:pPr>
    </w:p>
    <w:p w14:paraId="5049B968" w14:textId="77777777" w:rsidR="00D12A02" w:rsidRPr="00AE3367" w:rsidRDefault="00D12A02" w:rsidP="00AE3367">
      <w:pPr>
        <w:widowControl w:val="0"/>
        <w:jc w:val="center"/>
        <w:rPr>
          <w:rFonts w:eastAsia="Times New Roman" w:cs="Times New Roman"/>
          <w:sz w:val="28"/>
          <w:szCs w:val="28"/>
          <w:lang w:eastAsia="es-ES"/>
        </w:rPr>
      </w:pPr>
    </w:p>
    <w:p w14:paraId="375AAFEF" w14:textId="77777777" w:rsidR="00D12A02" w:rsidRPr="00AE3367" w:rsidRDefault="00D12A02" w:rsidP="00AE3367">
      <w:pPr>
        <w:widowControl w:val="0"/>
        <w:jc w:val="center"/>
        <w:rPr>
          <w:rFonts w:eastAsia="Times New Roman" w:cs="Times New Roman"/>
          <w:sz w:val="28"/>
          <w:szCs w:val="28"/>
          <w:lang w:eastAsia="es-ES"/>
        </w:rPr>
      </w:pPr>
    </w:p>
    <w:p w14:paraId="2D1C45E8" w14:textId="77777777" w:rsidR="00D12A02" w:rsidRPr="00AE3367"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MARTHA VICTORIA SÁCHICA MÉNDEZ</w:t>
      </w:r>
    </w:p>
    <w:p w14:paraId="30B2A634" w14:textId="6B51C542" w:rsidR="00D12A02" w:rsidRDefault="00D12A02" w:rsidP="00AE3367">
      <w:pPr>
        <w:widowControl w:val="0"/>
        <w:jc w:val="center"/>
        <w:rPr>
          <w:rFonts w:eastAsia="Times New Roman" w:cs="Times New Roman"/>
          <w:sz w:val="28"/>
          <w:szCs w:val="28"/>
          <w:lang w:eastAsia="es-ES"/>
        </w:rPr>
      </w:pPr>
      <w:r w:rsidRPr="00AE3367">
        <w:rPr>
          <w:rFonts w:eastAsia="Times New Roman" w:cs="Times New Roman"/>
          <w:sz w:val="28"/>
          <w:szCs w:val="28"/>
          <w:lang w:eastAsia="es-ES"/>
        </w:rPr>
        <w:t>Secretaria General</w:t>
      </w:r>
    </w:p>
    <w:p w14:paraId="3B0954A9" w14:textId="7001AF95" w:rsidR="005577B3" w:rsidRDefault="005577B3" w:rsidP="00AE3367">
      <w:pPr>
        <w:widowControl w:val="0"/>
        <w:jc w:val="center"/>
        <w:rPr>
          <w:rFonts w:eastAsia="Times New Roman" w:cs="Times New Roman"/>
          <w:sz w:val="28"/>
          <w:szCs w:val="28"/>
          <w:lang w:eastAsia="es-ES"/>
        </w:rPr>
      </w:pPr>
    </w:p>
    <w:p w14:paraId="0BB9DF51" w14:textId="77777777" w:rsidR="005577B3" w:rsidRPr="00AE3367" w:rsidRDefault="005577B3" w:rsidP="00AE3367">
      <w:pPr>
        <w:widowControl w:val="0"/>
        <w:jc w:val="center"/>
        <w:rPr>
          <w:rFonts w:eastAsia="Times New Roman" w:cs="Times New Roman"/>
          <w:sz w:val="28"/>
          <w:szCs w:val="28"/>
          <w:lang w:eastAsia="es-ES"/>
        </w:rPr>
      </w:pPr>
    </w:p>
    <w:sectPr w:rsidR="005577B3" w:rsidRPr="00AE3367" w:rsidSect="00F44117">
      <w:headerReference w:type="default" r:id="rId9"/>
      <w:footerReference w:type="default" r:id="rId10"/>
      <w:pgSz w:w="12242" w:h="18722" w:code="14"/>
      <w:pgMar w:top="1701" w:right="1701" w:bottom="1701" w:left="1701"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BA718" w14:textId="77777777" w:rsidR="00965CDE" w:rsidRDefault="00965CDE" w:rsidP="00FC6EAE">
      <w:r>
        <w:separator/>
      </w:r>
    </w:p>
  </w:endnote>
  <w:endnote w:type="continuationSeparator" w:id="0">
    <w:p w14:paraId="5A70BC17" w14:textId="77777777" w:rsidR="00965CDE" w:rsidRDefault="00965CDE" w:rsidP="00FC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202093796"/>
      <w:docPartObj>
        <w:docPartGallery w:val="Page Numbers (Bottom of Page)"/>
        <w:docPartUnique/>
      </w:docPartObj>
    </w:sdtPr>
    <w:sdtEndPr/>
    <w:sdtContent>
      <w:p w14:paraId="0620C273" w14:textId="77777777" w:rsidR="00CF0F71" w:rsidRPr="00AE209D" w:rsidRDefault="00CF0F71">
        <w:pPr>
          <w:pStyle w:val="Piedepgina"/>
          <w:jc w:val="right"/>
          <w:rPr>
            <w:rFonts w:ascii="Times New Roman" w:hAnsi="Times New Roman"/>
            <w:sz w:val="24"/>
            <w:szCs w:val="24"/>
          </w:rPr>
        </w:pPr>
        <w:r w:rsidRPr="00AE209D">
          <w:rPr>
            <w:rFonts w:ascii="Times New Roman" w:hAnsi="Times New Roman"/>
            <w:sz w:val="24"/>
            <w:szCs w:val="24"/>
          </w:rPr>
          <w:fldChar w:fldCharType="begin"/>
        </w:r>
        <w:r w:rsidRPr="00AE209D">
          <w:rPr>
            <w:rFonts w:ascii="Times New Roman" w:hAnsi="Times New Roman"/>
            <w:sz w:val="24"/>
            <w:szCs w:val="24"/>
          </w:rPr>
          <w:instrText>PAGE   \* MERGEFORMAT</w:instrText>
        </w:r>
        <w:r w:rsidRPr="00AE209D">
          <w:rPr>
            <w:rFonts w:ascii="Times New Roman" w:hAnsi="Times New Roman"/>
            <w:sz w:val="24"/>
            <w:szCs w:val="24"/>
          </w:rPr>
          <w:fldChar w:fldCharType="separate"/>
        </w:r>
        <w:r w:rsidR="00D61572">
          <w:rPr>
            <w:rFonts w:ascii="Times New Roman" w:hAnsi="Times New Roman"/>
            <w:noProof/>
            <w:sz w:val="24"/>
            <w:szCs w:val="24"/>
          </w:rPr>
          <w:t>2</w:t>
        </w:r>
        <w:r w:rsidRPr="00AE209D">
          <w:rPr>
            <w:rFonts w:ascii="Times New Roman" w:hAnsi="Times New Roman"/>
            <w:sz w:val="24"/>
            <w:szCs w:val="24"/>
          </w:rPr>
          <w:fldChar w:fldCharType="end"/>
        </w:r>
      </w:p>
    </w:sdtContent>
  </w:sdt>
  <w:p w14:paraId="31D06030" w14:textId="77777777" w:rsidR="00CF0F71" w:rsidRPr="00AE209D" w:rsidRDefault="00CF0F71">
    <w:pPr>
      <w:pStyle w:val="Piedepgina"/>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D90EF" w14:textId="77777777" w:rsidR="00965CDE" w:rsidRDefault="00965CDE" w:rsidP="00FC6EAE">
      <w:r>
        <w:separator/>
      </w:r>
    </w:p>
  </w:footnote>
  <w:footnote w:type="continuationSeparator" w:id="0">
    <w:p w14:paraId="02751873" w14:textId="77777777" w:rsidR="00965CDE" w:rsidRDefault="00965CDE" w:rsidP="00FC6EAE">
      <w:r>
        <w:continuationSeparator/>
      </w:r>
    </w:p>
  </w:footnote>
  <w:footnote w:id="1">
    <w:p w14:paraId="5EFB2955" w14:textId="77777777" w:rsidR="00BB2DAD" w:rsidRDefault="00BB2DAD">
      <w:pPr>
        <w:pStyle w:val="Textonotapie"/>
      </w:pPr>
      <w:r>
        <w:rPr>
          <w:rStyle w:val="Refdenotaalpie"/>
        </w:rPr>
        <w:footnoteRef/>
      </w:r>
      <w:r>
        <w:t xml:space="preserve"> El </w:t>
      </w:r>
      <w:r w:rsidRPr="00BB2DAD">
        <w:rPr>
          <w:bCs/>
        </w:rPr>
        <w:t xml:space="preserve">abogado Abelardo De la </w:t>
      </w:r>
      <w:proofErr w:type="spellStart"/>
      <w:r w:rsidRPr="00BB2DAD">
        <w:rPr>
          <w:bCs/>
        </w:rPr>
        <w:t>Espriella</w:t>
      </w:r>
      <w:proofErr w:type="spellEnd"/>
      <w:r>
        <w:rPr>
          <w:bCs/>
        </w:rPr>
        <w:t>.</w:t>
      </w:r>
    </w:p>
  </w:footnote>
  <w:footnote w:id="2">
    <w:p w14:paraId="646D9830" w14:textId="77777777" w:rsidR="00A9431E" w:rsidRPr="00BC2322" w:rsidRDefault="00A9431E" w:rsidP="00A9431E">
      <w:pPr>
        <w:pStyle w:val="Textonotapie"/>
        <w:jc w:val="both"/>
      </w:pPr>
      <w:r>
        <w:rPr>
          <w:rStyle w:val="Refdenotaalpie"/>
        </w:rPr>
        <w:footnoteRef/>
      </w:r>
      <w:r>
        <w:t xml:space="preserve"> Folios 1 a 316 del cuaderno de la Procuraduría General de la Nación.</w:t>
      </w:r>
    </w:p>
  </w:footnote>
  <w:footnote w:id="3">
    <w:p w14:paraId="1AEEB6CC" w14:textId="77777777" w:rsidR="00CF0F71" w:rsidRPr="00907B1C" w:rsidRDefault="00CF0F71" w:rsidP="004465D5">
      <w:pPr>
        <w:pStyle w:val="Textonotapie"/>
        <w:jc w:val="both"/>
      </w:pPr>
      <w:r>
        <w:rPr>
          <w:rStyle w:val="Refdenotaalpie"/>
        </w:rPr>
        <w:footnoteRef/>
      </w:r>
      <w:r>
        <w:t xml:space="preserve"> Folio 328 </w:t>
      </w:r>
      <w:r>
        <w:rPr>
          <w:i/>
        </w:rPr>
        <w:t>ibídem.</w:t>
      </w:r>
      <w:r>
        <w:t xml:space="preserve"> </w:t>
      </w:r>
    </w:p>
  </w:footnote>
  <w:footnote w:id="4">
    <w:p w14:paraId="52E7733F" w14:textId="77777777" w:rsidR="00CF0F71" w:rsidRPr="00907B1C" w:rsidRDefault="00CF0F71" w:rsidP="004465D5">
      <w:pPr>
        <w:pStyle w:val="Textonotapie"/>
        <w:jc w:val="both"/>
        <w:rPr>
          <w:i/>
        </w:rPr>
      </w:pPr>
      <w:r>
        <w:rPr>
          <w:rStyle w:val="Refdenotaalpie"/>
        </w:rPr>
        <w:footnoteRef/>
      </w:r>
      <w:r>
        <w:t xml:space="preserve"> Folio 329 </w:t>
      </w:r>
      <w:r>
        <w:rPr>
          <w:i/>
        </w:rPr>
        <w:t>ibídem.</w:t>
      </w:r>
    </w:p>
  </w:footnote>
  <w:footnote w:id="5">
    <w:p w14:paraId="143D0823" w14:textId="77777777" w:rsidR="00CF0F71" w:rsidRPr="00907B1C" w:rsidRDefault="00CF0F71" w:rsidP="004465D5">
      <w:pPr>
        <w:pStyle w:val="Textonotapie"/>
        <w:jc w:val="both"/>
      </w:pPr>
      <w:r>
        <w:rPr>
          <w:rStyle w:val="Refdenotaalpie"/>
        </w:rPr>
        <w:footnoteRef/>
      </w:r>
      <w:r>
        <w:t xml:space="preserve"> </w:t>
      </w:r>
      <w:r>
        <w:rPr>
          <w:i/>
        </w:rPr>
        <w:t>Ibídem</w:t>
      </w:r>
      <w:r>
        <w:t xml:space="preserve">. </w:t>
      </w:r>
    </w:p>
  </w:footnote>
  <w:footnote w:id="6">
    <w:p w14:paraId="046DEECD" w14:textId="77777777" w:rsidR="00CF0F71" w:rsidRPr="00BC2322" w:rsidRDefault="00CF0F71" w:rsidP="004465D5">
      <w:pPr>
        <w:pStyle w:val="Textonotapie"/>
        <w:jc w:val="both"/>
      </w:pPr>
      <w:r>
        <w:rPr>
          <w:rStyle w:val="Refdenotaalpie"/>
        </w:rPr>
        <w:footnoteRef/>
      </w:r>
      <w:r>
        <w:t xml:space="preserve"> Folio 329 del Cuaderno Nº 2 de la Procuraduría General de la Nación. </w:t>
      </w:r>
    </w:p>
  </w:footnote>
  <w:footnote w:id="7">
    <w:p w14:paraId="086ED7E9" w14:textId="77777777" w:rsidR="00CF0F71" w:rsidRPr="00470F12" w:rsidRDefault="00CF0F71" w:rsidP="004465D5">
      <w:pPr>
        <w:pStyle w:val="Textonotapie"/>
        <w:jc w:val="both"/>
      </w:pPr>
      <w:r>
        <w:rPr>
          <w:rStyle w:val="Refdenotaalpie"/>
        </w:rPr>
        <w:footnoteRef/>
      </w:r>
      <w:r>
        <w:t xml:space="preserve"> Folio 92 del Cuaderno del Consejo Superior de la Judicatura. </w:t>
      </w:r>
    </w:p>
  </w:footnote>
  <w:footnote w:id="8">
    <w:p w14:paraId="1F5DCA48" w14:textId="77777777" w:rsidR="00CF0F71" w:rsidRPr="00731AE2" w:rsidRDefault="00CF0F71" w:rsidP="004465D5">
      <w:pPr>
        <w:pStyle w:val="Textonotapie"/>
        <w:jc w:val="both"/>
        <w:rPr>
          <w:i/>
        </w:rPr>
      </w:pPr>
      <w:r>
        <w:rPr>
          <w:rStyle w:val="Refdenotaalpie"/>
        </w:rPr>
        <w:footnoteRef/>
      </w:r>
      <w:r>
        <w:t xml:space="preserve"> Folio 95 </w:t>
      </w:r>
      <w:r>
        <w:rPr>
          <w:i/>
        </w:rPr>
        <w:t xml:space="preserve">Ibídem. </w:t>
      </w:r>
    </w:p>
  </w:footnote>
  <w:footnote w:id="9">
    <w:p w14:paraId="6C25EE51" w14:textId="77777777" w:rsidR="00CF0F71" w:rsidRPr="00731AE2" w:rsidRDefault="00CF0F71" w:rsidP="004465D5">
      <w:pPr>
        <w:pStyle w:val="Textonotapie"/>
        <w:jc w:val="both"/>
      </w:pPr>
      <w:r>
        <w:rPr>
          <w:rStyle w:val="Refdenotaalpie"/>
        </w:rPr>
        <w:footnoteRef/>
      </w:r>
      <w:r>
        <w:t xml:space="preserve"> Folio 94 </w:t>
      </w:r>
      <w:r>
        <w:rPr>
          <w:i/>
        </w:rPr>
        <w:t>Ibídem</w:t>
      </w:r>
      <w:r>
        <w:t xml:space="preserve">. </w:t>
      </w:r>
    </w:p>
  </w:footnote>
  <w:footnote w:id="10">
    <w:p w14:paraId="0634822E" w14:textId="77777777" w:rsidR="00AA0727" w:rsidRPr="00AA0727" w:rsidRDefault="00AA0727" w:rsidP="004465D5">
      <w:pPr>
        <w:pStyle w:val="Textonotapie"/>
        <w:jc w:val="both"/>
      </w:pPr>
      <w:r>
        <w:rPr>
          <w:rStyle w:val="Refdenotaalpie"/>
        </w:rPr>
        <w:footnoteRef/>
      </w:r>
      <w:r>
        <w:t xml:space="preserve"> “</w:t>
      </w:r>
      <w:r>
        <w:rPr>
          <w:i/>
        </w:rPr>
        <w:t>Estatutaria de la Administración de Justicia</w:t>
      </w:r>
      <w:r>
        <w:t xml:space="preserve">”. </w:t>
      </w:r>
    </w:p>
  </w:footnote>
  <w:footnote w:id="11">
    <w:p w14:paraId="2772CFCA" w14:textId="77777777" w:rsidR="00655CDE" w:rsidRPr="00655CDE" w:rsidRDefault="00655CDE" w:rsidP="004465D5">
      <w:pPr>
        <w:pStyle w:val="Textonotapie"/>
        <w:jc w:val="both"/>
      </w:pPr>
      <w:r>
        <w:rPr>
          <w:rStyle w:val="Refdenotaalpie"/>
        </w:rPr>
        <w:footnoteRef/>
      </w:r>
      <w:r>
        <w:t xml:space="preserve"> “</w:t>
      </w:r>
      <w:r w:rsidR="004465D5">
        <w:rPr>
          <w:i/>
        </w:rPr>
        <w:t>Por medio del cual se adopta una reforma de equilibrio de poderes y reajuste institucional y se dictan otras disposiciones</w:t>
      </w:r>
      <w:r>
        <w:t xml:space="preserve">”. </w:t>
      </w:r>
    </w:p>
  </w:footnote>
  <w:footnote w:id="12">
    <w:p w14:paraId="7A9A513F" w14:textId="77777777" w:rsidR="004D0C14" w:rsidRPr="004D0C14" w:rsidRDefault="004D0C14" w:rsidP="004465D5">
      <w:pPr>
        <w:pStyle w:val="Textonotapie"/>
        <w:jc w:val="both"/>
      </w:pPr>
      <w:r>
        <w:rPr>
          <w:rStyle w:val="Refdenotaalpie"/>
        </w:rPr>
        <w:footnoteRef/>
      </w:r>
      <w:r>
        <w:t xml:space="preserve"> M.P. Luis Guillermo Guerrero Pérez. </w:t>
      </w:r>
    </w:p>
  </w:footnote>
  <w:footnote w:id="13">
    <w:p w14:paraId="0D2BC810" w14:textId="77777777" w:rsidR="00B173DE" w:rsidRPr="00B173DE" w:rsidRDefault="00B173DE" w:rsidP="00B173DE">
      <w:pPr>
        <w:pStyle w:val="Textonotapie"/>
        <w:jc w:val="both"/>
      </w:pPr>
      <w:r>
        <w:rPr>
          <w:rStyle w:val="Refdenotaalpie"/>
        </w:rPr>
        <w:footnoteRef/>
      </w:r>
      <w:r>
        <w:t xml:space="preserve"> “</w:t>
      </w:r>
      <w:r>
        <w:rPr>
          <w:i/>
        </w:rPr>
        <w:t>Por medio del cual se crea un título de disposiciones transitorias de la Constitución para la terminación del conflicto armado y la construcción de una paz estable y duradera y se dictan otras disposiciones</w:t>
      </w:r>
      <w:r>
        <w:t>”.</w:t>
      </w:r>
    </w:p>
  </w:footnote>
  <w:footnote w:id="14">
    <w:p w14:paraId="63A6D01F" w14:textId="77777777" w:rsidR="007C410F" w:rsidRPr="007C410F" w:rsidRDefault="007C410F" w:rsidP="007C410F">
      <w:pPr>
        <w:pStyle w:val="Textonotapie"/>
        <w:jc w:val="both"/>
      </w:pPr>
      <w:r>
        <w:rPr>
          <w:rStyle w:val="Refdenotaalpie"/>
        </w:rPr>
        <w:footnoteRef/>
      </w:r>
      <w:r>
        <w:t xml:space="preserve"> M.P. Luis Guillermo Guerrero Pérez.</w:t>
      </w:r>
    </w:p>
  </w:footnote>
  <w:footnote w:id="15">
    <w:p w14:paraId="118B2BF4" w14:textId="77777777" w:rsidR="00AC3843" w:rsidRDefault="00AC3843" w:rsidP="00AC3843">
      <w:pPr>
        <w:pStyle w:val="Textonotapie"/>
        <w:jc w:val="both"/>
      </w:pPr>
      <w:r>
        <w:rPr>
          <w:rStyle w:val="Refdenotaalpie"/>
        </w:rPr>
        <w:footnoteRef/>
      </w:r>
      <w:r>
        <w:t xml:space="preserve"> Ley 1437 de 2011. </w:t>
      </w:r>
    </w:p>
  </w:footnote>
  <w:footnote w:id="16">
    <w:p w14:paraId="2321D854" w14:textId="77777777" w:rsidR="00AB72D5" w:rsidRDefault="00AB72D5" w:rsidP="00AB72D5">
      <w:pPr>
        <w:pStyle w:val="Textonotapie"/>
        <w:jc w:val="both"/>
      </w:pPr>
      <w:r>
        <w:rPr>
          <w:rStyle w:val="Refdenotaalpie"/>
        </w:rPr>
        <w:footnoteRef/>
      </w:r>
      <w:r>
        <w:t xml:space="preserve"> “Por el cual se expide el Reglamento del Congreso; el Senado y la Cámara de Representantes”.</w:t>
      </w:r>
    </w:p>
  </w:footnote>
  <w:footnote w:id="17">
    <w:p w14:paraId="6474DA31" w14:textId="77777777" w:rsidR="00AB72D5" w:rsidRDefault="00AB72D5" w:rsidP="00AB72D5">
      <w:pPr>
        <w:pStyle w:val="Textonotapie"/>
        <w:jc w:val="both"/>
      </w:pPr>
      <w:r>
        <w:rPr>
          <w:rStyle w:val="Refdenotaalpie"/>
        </w:rPr>
        <w:footnoteRef/>
      </w:r>
      <w:r>
        <w:t xml:space="preserve"> “Por el cual se modifican la estructura y la organización de la Procuraduría General de la Nación y del Instituto de Estudios del Ministerio Público; el régimen de competencias interno de la Procuraduría General; se dictan normas para su funcionamiento; se modifica el régimen de </w:t>
      </w:r>
      <w:proofErr w:type="spellStart"/>
      <w:r>
        <w:t>carera</w:t>
      </w:r>
      <w:proofErr w:type="spellEnd"/>
      <w:r>
        <w:t xml:space="preserve"> de la Procuraduría General de la Nación, el de inhabilidades e incompatibilidades de sus servidores y se regulan las diversas situaciones administrativas a las que se encuentren sujetos”. </w:t>
      </w:r>
    </w:p>
  </w:footnote>
  <w:footnote w:id="18">
    <w:p w14:paraId="71E3752C" w14:textId="77777777" w:rsidR="00AB72D5" w:rsidRDefault="00AB72D5" w:rsidP="00AB72D5">
      <w:pPr>
        <w:pStyle w:val="Textonotapie"/>
      </w:pPr>
      <w:r>
        <w:rPr>
          <w:rStyle w:val="Refdenotaalpie"/>
        </w:rPr>
        <w:footnoteRef/>
      </w:r>
      <w:r>
        <w:t xml:space="preserve"> M.P. Eduardo Cifuentes Muñoz. </w:t>
      </w:r>
    </w:p>
  </w:footnote>
  <w:footnote w:id="19">
    <w:p w14:paraId="3E12FDFD" w14:textId="77777777" w:rsidR="00AB72D5" w:rsidRDefault="00AB72D5" w:rsidP="00AB72D5">
      <w:pPr>
        <w:pStyle w:val="Textonotapie"/>
        <w:jc w:val="both"/>
      </w:pPr>
      <w:r>
        <w:rPr>
          <w:rStyle w:val="Refdenotaalpie"/>
        </w:rPr>
        <w:footnoteRef/>
      </w:r>
      <w:r>
        <w:t xml:space="preserve"> </w:t>
      </w:r>
      <w:r w:rsidRPr="003F6B3D">
        <w:rPr>
          <w:i/>
          <w:iCs/>
        </w:rPr>
        <w:t>“Por medio del cual se expide el código general disciplinario se derogan la ley 734 de 2002 y algunas disposiciones de la ley 1474 de 2011, relacionadas con el derecho disciplinario”.</w:t>
      </w:r>
    </w:p>
  </w:footnote>
  <w:footnote w:id="20">
    <w:p w14:paraId="79A6A70D" w14:textId="77777777" w:rsidR="00AC3843" w:rsidRDefault="00AC3843" w:rsidP="00AC3843">
      <w:pPr>
        <w:pStyle w:val="Textonotapie"/>
        <w:jc w:val="both"/>
      </w:pPr>
      <w:r>
        <w:rPr>
          <w:rStyle w:val="Refdenotaalpie"/>
        </w:rPr>
        <w:footnoteRef/>
      </w:r>
      <w:r>
        <w:t xml:space="preserve"> </w:t>
      </w:r>
      <w:r w:rsidRPr="003F6B3D">
        <w:rPr>
          <w:i/>
          <w:iCs/>
        </w:rPr>
        <w:t>“Por medio de la cual se expide el Código de Ética y Disciplinario del Congresista y se dictan otras disposiciones”.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F00B4" w14:textId="77777777" w:rsidR="00CF0F71" w:rsidRDefault="00CF0F71" w:rsidP="00C4687D">
    <w:pPr>
      <w:pStyle w:val="Encabezado"/>
      <w:jc w:val="right"/>
      <w:rPr>
        <w:i/>
      </w:rPr>
    </w:pPr>
  </w:p>
  <w:p w14:paraId="2B6AF639" w14:textId="77777777" w:rsidR="00CF0F71" w:rsidRDefault="00CF0F71" w:rsidP="00C4687D">
    <w:pPr>
      <w:pStyle w:val="Encabezado"/>
      <w:jc w:val="right"/>
      <w:rPr>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D2B47"/>
    <w:multiLevelType w:val="multilevel"/>
    <w:tmpl w:val="B2283A4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A2B3EA0"/>
    <w:multiLevelType w:val="hybridMultilevel"/>
    <w:tmpl w:val="6B9CA764"/>
    <w:lvl w:ilvl="0" w:tplc="619C27F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hideSpellingErrors/>
  <w:hideGrammaticalErrors/>
  <w:activeWritingStyle w:appName="MSWord" w:lang="es-ES" w:vendorID="64" w:dllVersion="4096" w:nlCheck="1" w:checkStyle="0"/>
  <w:activeWritingStyle w:appName="MSWord" w:lang="es-ES"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AE"/>
    <w:rsid w:val="00003258"/>
    <w:rsid w:val="00005137"/>
    <w:rsid w:val="000138E8"/>
    <w:rsid w:val="00030FF9"/>
    <w:rsid w:val="00031376"/>
    <w:rsid w:val="000324AC"/>
    <w:rsid w:val="00041B73"/>
    <w:rsid w:val="00043E51"/>
    <w:rsid w:val="00044CAC"/>
    <w:rsid w:val="00044E22"/>
    <w:rsid w:val="00047408"/>
    <w:rsid w:val="00047F75"/>
    <w:rsid w:val="0005513F"/>
    <w:rsid w:val="00056C2F"/>
    <w:rsid w:val="00062D3A"/>
    <w:rsid w:val="00072570"/>
    <w:rsid w:val="000750C9"/>
    <w:rsid w:val="000A2B99"/>
    <w:rsid w:val="000A322E"/>
    <w:rsid w:val="000A3FDF"/>
    <w:rsid w:val="000A665C"/>
    <w:rsid w:val="000B0886"/>
    <w:rsid w:val="000C5328"/>
    <w:rsid w:val="000D251F"/>
    <w:rsid w:val="000D4BF5"/>
    <w:rsid w:val="000E11C4"/>
    <w:rsid w:val="000E1471"/>
    <w:rsid w:val="000F2ACF"/>
    <w:rsid w:val="000F54BB"/>
    <w:rsid w:val="00102E26"/>
    <w:rsid w:val="00102FF6"/>
    <w:rsid w:val="00103A3A"/>
    <w:rsid w:val="00104535"/>
    <w:rsid w:val="00104ACA"/>
    <w:rsid w:val="00110E78"/>
    <w:rsid w:val="00112D6D"/>
    <w:rsid w:val="001204BC"/>
    <w:rsid w:val="00122E86"/>
    <w:rsid w:val="00124B48"/>
    <w:rsid w:val="00125283"/>
    <w:rsid w:val="00126E07"/>
    <w:rsid w:val="00127A20"/>
    <w:rsid w:val="00131D40"/>
    <w:rsid w:val="00142311"/>
    <w:rsid w:val="00143682"/>
    <w:rsid w:val="001505C6"/>
    <w:rsid w:val="00152959"/>
    <w:rsid w:val="0015325D"/>
    <w:rsid w:val="00160959"/>
    <w:rsid w:val="00160FC7"/>
    <w:rsid w:val="001721EC"/>
    <w:rsid w:val="00173494"/>
    <w:rsid w:val="00173DA3"/>
    <w:rsid w:val="00174114"/>
    <w:rsid w:val="00174482"/>
    <w:rsid w:val="0018068B"/>
    <w:rsid w:val="00181A8B"/>
    <w:rsid w:val="00183CE2"/>
    <w:rsid w:val="00187555"/>
    <w:rsid w:val="00187577"/>
    <w:rsid w:val="00192402"/>
    <w:rsid w:val="001974CA"/>
    <w:rsid w:val="001A01D5"/>
    <w:rsid w:val="001A3757"/>
    <w:rsid w:val="001A58CD"/>
    <w:rsid w:val="001B2CDA"/>
    <w:rsid w:val="001B540C"/>
    <w:rsid w:val="001C16EB"/>
    <w:rsid w:val="001C17B6"/>
    <w:rsid w:val="001C1CFD"/>
    <w:rsid w:val="001C4511"/>
    <w:rsid w:val="001C4D52"/>
    <w:rsid w:val="001D145D"/>
    <w:rsid w:val="001D3C05"/>
    <w:rsid w:val="001D4B45"/>
    <w:rsid w:val="001E1F80"/>
    <w:rsid w:val="001E291B"/>
    <w:rsid w:val="001E615D"/>
    <w:rsid w:val="001F096A"/>
    <w:rsid w:val="001F33A6"/>
    <w:rsid w:val="001F38E4"/>
    <w:rsid w:val="001F4D76"/>
    <w:rsid w:val="002008ED"/>
    <w:rsid w:val="002114B7"/>
    <w:rsid w:val="002115B4"/>
    <w:rsid w:val="00213FE4"/>
    <w:rsid w:val="00216BAE"/>
    <w:rsid w:val="002211DA"/>
    <w:rsid w:val="0022210E"/>
    <w:rsid w:val="00227DAD"/>
    <w:rsid w:val="00234F36"/>
    <w:rsid w:val="00236398"/>
    <w:rsid w:val="002364EE"/>
    <w:rsid w:val="0024085C"/>
    <w:rsid w:val="002425B8"/>
    <w:rsid w:val="00244B6B"/>
    <w:rsid w:val="002525AD"/>
    <w:rsid w:val="00257C61"/>
    <w:rsid w:val="0027150E"/>
    <w:rsid w:val="002732EE"/>
    <w:rsid w:val="00277C20"/>
    <w:rsid w:val="00281041"/>
    <w:rsid w:val="00283A46"/>
    <w:rsid w:val="00296EF8"/>
    <w:rsid w:val="002A0E6B"/>
    <w:rsid w:val="002A4B56"/>
    <w:rsid w:val="002A5E03"/>
    <w:rsid w:val="002B0324"/>
    <w:rsid w:val="002B790E"/>
    <w:rsid w:val="002C1626"/>
    <w:rsid w:val="002C48B0"/>
    <w:rsid w:val="002C4BA6"/>
    <w:rsid w:val="002D26E6"/>
    <w:rsid w:val="002D3672"/>
    <w:rsid w:val="002D788E"/>
    <w:rsid w:val="002E4F36"/>
    <w:rsid w:val="00305A8C"/>
    <w:rsid w:val="00306442"/>
    <w:rsid w:val="00313AD5"/>
    <w:rsid w:val="003303F3"/>
    <w:rsid w:val="00333658"/>
    <w:rsid w:val="00334CC1"/>
    <w:rsid w:val="003359AB"/>
    <w:rsid w:val="00343E4F"/>
    <w:rsid w:val="003526DC"/>
    <w:rsid w:val="00361847"/>
    <w:rsid w:val="00366615"/>
    <w:rsid w:val="00367983"/>
    <w:rsid w:val="003726C9"/>
    <w:rsid w:val="00381941"/>
    <w:rsid w:val="00386BF9"/>
    <w:rsid w:val="00387A86"/>
    <w:rsid w:val="003A4262"/>
    <w:rsid w:val="003A4DE7"/>
    <w:rsid w:val="003A6C8C"/>
    <w:rsid w:val="003B457B"/>
    <w:rsid w:val="003C33E7"/>
    <w:rsid w:val="003C71DA"/>
    <w:rsid w:val="003C7865"/>
    <w:rsid w:val="003D0B23"/>
    <w:rsid w:val="003D2F80"/>
    <w:rsid w:val="003D3627"/>
    <w:rsid w:val="003D4F86"/>
    <w:rsid w:val="003D6250"/>
    <w:rsid w:val="003E6F05"/>
    <w:rsid w:val="003E72A3"/>
    <w:rsid w:val="003F2F89"/>
    <w:rsid w:val="003F3F99"/>
    <w:rsid w:val="003F6B3D"/>
    <w:rsid w:val="00405E82"/>
    <w:rsid w:val="0042038B"/>
    <w:rsid w:val="00424D96"/>
    <w:rsid w:val="0043076D"/>
    <w:rsid w:val="0043394C"/>
    <w:rsid w:val="0043663D"/>
    <w:rsid w:val="0043765A"/>
    <w:rsid w:val="00437928"/>
    <w:rsid w:val="004408B4"/>
    <w:rsid w:val="00441BE6"/>
    <w:rsid w:val="00442F57"/>
    <w:rsid w:val="004435D1"/>
    <w:rsid w:val="004465D5"/>
    <w:rsid w:val="0045395C"/>
    <w:rsid w:val="00465175"/>
    <w:rsid w:val="00470E33"/>
    <w:rsid w:val="00470F12"/>
    <w:rsid w:val="00472E79"/>
    <w:rsid w:val="00480A5F"/>
    <w:rsid w:val="00481815"/>
    <w:rsid w:val="004820B9"/>
    <w:rsid w:val="004846C7"/>
    <w:rsid w:val="00484DB5"/>
    <w:rsid w:val="0048530B"/>
    <w:rsid w:val="00486C4E"/>
    <w:rsid w:val="00487050"/>
    <w:rsid w:val="00491331"/>
    <w:rsid w:val="0049249D"/>
    <w:rsid w:val="00493B4A"/>
    <w:rsid w:val="004A546E"/>
    <w:rsid w:val="004B27C4"/>
    <w:rsid w:val="004C61ED"/>
    <w:rsid w:val="004D0C14"/>
    <w:rsid w:val="004D77F2"/>
    <w:rsid w:val="004E06BA"/>
    <w:rsid w:val="004E0D04"/>
    <w:rsid w:val="004E2589"/>
    <w:rsid w:val="004F19F4"/>
    <w:rsid w:val="00500FE2"/>
    <w:rsid w:val="005011B3"/>
    <w:rsid w:val="0050341F"/>
    <w:rsid w:val="00515401"/>
    <w:rsid w:val="00520422"/>
    <w:rsid w:val="00524155"/>
    <w:rsid w:val="00531908"/>
    <w:rsid w:val="00531AC8"/>
    <w:rsid w:val="005353D7"/>
    <w:rsid w:val="005358E1"/>
    <w:rsid w:val="00535C96"/>
    <w:rsid w:val="00541514"/>
    <w:rsid w:val="00541553"/>
    <w:rsid w:val="005535B3"/>
    <w:rsid w:val="00554485"/>
    <w:rsid w:val="005577B3"/>
    <w:rsid w:val="005641A8"/>
    <w:rsid w:val="00564DD9"/>
    <w:rsid w:val="0057248B"/>
    <w:rsid w:val="005724B1"/>
    <w:rsid w:val="00573952"/>
    <w:rsid w:val="00573DC5"/>
    <w:rsid w:val="00581281"/>
    <w:rsid w:val="00585E4F"/>
    <w:rsid w:val="00587171"/>
    <w:rsid w:val="005934BE"/>
    <w:rsid w:val="005977C1"/>
    <w:rsid w:val="005A1F04"/>
    <w:rsid w:val="005B0952"/>
    <w:rsid w:val="005B0B23"/>
    <w:rsid w:val="005B760C"/>
    <w:rsid w:val="005B76FC"/>
    <w:rsid w:val="005C6562"/>
    <w:rsid w:val="005C7810"/>
    <w:rsid w:val="005D0515"/>
    <w:rsid w:val="005D68F6"/>
    <w:rsid w:val="005E41A9"/>
    <w:rsid w:val="005E4992"/>
    <w:rsid w:val="005F0FB7"/>
    <w:rsid w:val="005F267E"/>
    <w:rsid w:val="005F40D5"/>
    <w:rsid w:val="00600A06"/>
    <w:rsid w:val="0060217C"/>
    <w:rsid w:val="00612F12"/>
    <w:rsid w:val="00614ADD"/>
    <w:rsid w:val="00621016"/>
    <w:rsid w:val="00621B28"/>
    <w:rsid w:val="00621B64"/>
    <w:rsid w:val="00627472"/>
    <w:rsid w:val="00627641"/>
    <w:rsid w:val="00627D9A"/>
    <w:rsid w:val="00632C07"/>
    <w:rsid w:val="00637709"/>
    <w:rsid w:val="00637B82"/>
    <w:rsid w:val="006417D8"/>
    <w:rsid w:val="00646D88"/>
    <w:rsid w:val="00655CDE"/>
    <w:rsid w:val="00660A78"/>
    <w:rsid w:val="0066260F"/>
    <w:rsid w:val="006628C7"/>
    <w:rsid w:val="00664346"/>
    <w:rsid w:val="0066479B"/>
    <w:rsid w:val="00664FD7"/>
    <w:rsid w:val="00667F8A"/>
    <w:rsid w:val="00670C24"/>
    <w:rsid w:val="00670E64"/>
    <w:rsid w:val="00670FB8"/>
    <w:rsid w:val="00671B00"/>
    <w:rsid w:val="0067363B"/>
    <w:rsid w:val="00687BE0"/>
    <w:rsid w:val="00696604"/>
    <w:rsid w:val="006B0E10"/>
    <w:rsid w:val="006C7969"/>
    <w:rsid w:val="006D01EF"/>
    <w:rsid w:val="006D090B"/>
    <w:rsid w:val="006D0C73"/>
    <w:rsid w:val="006D6211"/>
    <w:rsid w:val="006D62BF"/>
    <w:rsid w:val="006E1B52"/>
    <w:rsid w:val="006E60CB"/>
    <w:rsid w:val="006E78B7"/>
    <w:rsid w:val="006E7BBE"/>
    <w:rsid w:val="006F3210"/>
    <w:rsid w:val="006F507C"/>
    <w:rsid w:val="006F7054"/>
    <w:rsid w:val="00704D5B"/>
    <w:rsid w:val="00707A1D"/>
    <w:rsid w:val="00712354"/>
    <w:rsid w:val="00712F11"/>
    <w:rsid w:val="00722CFA"/>
    <w:rsid w:val="00722E05"/>
    <w:rsid w:val="00731A8B"/>
    <w:rsid w:val="00731AE2"/>
    <w:rsid w:val="0073507D"/>
    <w:rsid w:val="00735573"/>
    <w:rsid w:val="00737465"/>
    <w:rsid w:val="00744C93"/>
    <w:rsid w:val="0074508C"/>
    <w:rsid w:val="00745B00"/>
    <w:rsid w:val="00763F7D"/>
    <w:rsid w:val="00770F7C"/>
    <w:rsid w:val="00773CD4"/>
    <w:rsid w:val="007758E1"/>
    <w:rsid w:val="00780C5F"/>
    <w:rsid w:val="00790233"/>
    <w:rsid w:val="007916F6"/>
    <w:rsid w:val="007920E0"/>
    <w:rsid w:val="007A5FB5"/>
    <w:rsid w:val="007B6496"/>
    <w:rsid w:val="007B6740"/>
    <w:rsid w:val="007C224C"/>
    <w:rsid w:val="007C410F"/>
    <w:rsid w:val="007D0FA4"/>
    <w:rsid w:val="007D1333"/>
    <w:rsid w:val="007D4260"/>
    <w:rsid w:val="007D7F33"/>
    <w:rsid w:val="007E0C9E"/>
    <w:rsid w:val="007E2BFB"/>
    <w:rsid w:val="007E4BEE"/>
    <w:rsid w:val="007F194D"/>
    <w:rsid w:val="007F1ECF"/>
    <w:rsid w:val="007F4CF1"/>
    <w:rsid w:val="007F4E13"/>
    <w:rsid w:val="007F50F3"/>
    <w:rsid w:val="007F5D59"/>
    <w:rsid w:val="007F67DE"/>
    <w:rsid w:val="00800130"/>
    <w:rsid w:val="00804F95"/>
    <w:rsid w:val="00806588"/>
    <w:rsid w:val="00811AD6"/>
    <w:rsid w:val="00820012"/>
    <w:rsid w:val="0084570F"/>
    <w:rsid w:val="0085099D"/>
    <w:rsid w:val="00850BFC"/>
    <w:rsid w:val="0085164A"/>
    <w:rsid w:val="00855FF7"/>
    <w:rsid w:val="00860A53"/>
    <w:rsid w:val="00863615"/>
    <w:rsid w:val="00867C5B"/>
    <w:rsid w:val="0087598F"/>
    <w:rsid w:val="00876472"/>
    <w:rsid w:val="0088069C"/>
    <w:rsid w:val="00887C02"/>
    <w:rsid w:val="00897244"/>
    <w:rsid w:val="008A61F0"/>
    <w:rsid w:val="008B6D95"/>
    <w:rsid w:val="008C6C54"/>
    <w:rsid w:val="008D2B62"/>
    <w:rsid w:val="008D403B"/>
    <w:rsid w:val="008E2EBA"/>
    <w:rsid w:val="008E3CA4"/>
    <w:rsid w:val="008F1099"/>
    <w:rsid w:val="008F1DF4"/>
    <w:rsid w:val="00901802"/>
    <w:rsid w:val="009051A5"/>
    <w:rsid w:val="00907B1C"/>
    <w:rsid w:val="009127F3"/>
    <w:rsid w:val="00913AD2"/>
    <w:rsid w:val="00917A45"/>
    <w:rsid w:val="00923601"/>
    <w:rsid w:val="00924375"/>
    <w:rsid w:val="009258D3"/>
    <w:rsid w:val="00933F05"/>
    <w:rsid w:val="00954BDC"/>
    <w:rsid w:val="00962859"/>
    <w:rsid w:val="00965CDE"/>
    <w:rsid w:val="009735DA"/>
    <w:rsid w:val="00974B53"/>
    <w:rsid w:val="009819FA"/>
    <w:rsid w:val="00983BAD"/>
    <w:rsid w:val="0099172D"/>
    <w:rsid w:val="00991AA0"/>
    <w:rsid w:val="0099580D"/>
    <w:rsid w:val="009A0DD2"/>
    <w:rsid w:val="009A2CFB"/>
    <w:rsid w:val="009B11F0"/>
    <w:rsid w:val="009B22F1"/>
    <w:rsid w:val="009B352A"/>
    <w:rsid w:val="009C1EFC"/>
    <w:rsid w:val="009E097A"/>
    <w:rsid w:val="009E53DB"/>
    <w:rsid w:val="009E5BC2"/>
    <w:rsid w:val="00A106E4"/>
    <w:rsid w:val="00A11C23"/>
    <w:rsid w:val="00A21E16"/>
    <w:rsid w:val="00A22088"/>
    <w:rsid w:val="00A30883"/>
    <w:rsid w:val="00A3355F"/>
    <w:rsid w:val="00A36ABC"/>
    <w:rsid w:val="00A40399"/>
    <w:rsid w:val="00A5358A"/>
    <w:rsid w:val="00A54E5E"/>
    <w:rsid w:val="00A5771E"/>
    <w:rsid w:val="00A61CB7"/>
    <w:rsid w:val="00A646E5"/>
    <w:rsid w:val="00A655E9"/>
    <w:rsid w:val="00A6715A"/>
    <w:rsid w:val="00A7064E"/>
    <w:rsid w:val="00A77207"/>
    <w:rsid w:val="00A90B54"/>
    <w:rsid w:val="00A9431E"/>
    <w:rsid w:val="00AA0727"/>
    <w:rsid w:val="00AA3D6D"/>
    <w:rsid w:val="00AA77D6"/>
    <w:rsid w:val="00AB19B0"/>
    <w:rsid w:val="00AB6B99"/>
    <w:rsid w:val="00AB710E"/>
    <w:rsid w:val="00AB72D5"/>
    <w:rsid w:val="00AC04F4"/>
    <w:rsid w:val="00AC0CB2"/>
    <w:rsid w:val="00AC3843"/>
    <w:rsid w:val="00AC3E69"/>
    <w:rsid w:val="00AC5DCC"/>
    <w:rsid w:val="00AD34B0"/>
    <w:rsid w:val="00AE0941"/>
    <w:rsid w:val="00AE209D"/>
    <w:rsid w:val="00AE3367"/>
    <w:rsid w:val="00AE399E"/>
    <w:rsid w:val="00AE6F4C"/>
    <w:rsid w:val="00AF09B9"/>
    <w:rsid w:val="00AF3269"/>
    <w:rsid w:val="00AF73F9"/>
    <w:rsid w:val="00B016CC"/>
    <w:rsid w:val="00B03735"/>
    <w:rsid w:val="00B0644E"/>
    <w:rsid w:val="00B12415"/>
    <w:rsid w:val="00B12570"/>
    <w:rsid w:val="00B13807"/>
    <w:rsid w:val="00B153B9"/>
    <w:rsid w:val="00B1546C"/>
    <w:rsid w:val="00B15638"/>
    <w:rsid w:val="00B173DE"/>
    <w:rsid w:val="00B260BA"/>
    <w:rsid w:val="00B276F4"/>
    <w:rsid w:val="00B332FB"/>
    <w:rsid w:val="00B41CC6"/>
    <w:rsid w:val="00B5431B"/>
    <w:rsid w:val="00B54E35"/>
    <w:rsid w:val="00B60884"/>
    <w:rsid w:val="00B62EE4"/>
    <w:rsid w:val="00B651CA"/>
    <w:rsid w:val="00B65BD9"/>
    <w:rsid w:val="00B724DC"/>
    <w:rsid w:val="00B7473D"/>
    <w:rsid w:val="00B74EC9"/>
    <w:rsid w:val="00B867C6"/>
    <w:rsid w:val="00B91198"/>
    <w:rsid w:val="00B94EA8"/>
    <w:rsid w:val="00BA5CCF"/>
    <w:rsid w:val="00BA6B56"/>
    <w:rsid w:val="00BB2DAD"/>
    <w:rsid w:val="00BC2322"/>
    <w:rsid w:val="00BD0F1F"/>
    <w:rsid w:val="00BD4286"/>
    <w:rsid w:val="00BD7D32"/>
    <w:rsid w:val="00BE1849"/>
    <w:rsid w:val="00BE192A"/>
    <w:rsid w:val="00BE37E4"/>
    <w:rsid w:val="00BF22BF"/>
    <w:rsid w:val="00BF63E9"/>
    <w:rsid w:val="00C0151D"/>
    <w:rsid w:val="00C03224"/>
    <w:rsid w:val="00C051AE"/>
    <w:rsid w:val="00C12CBD"/>
    <w:rsid w:val="00C158D5"/>
    <w:rsid w:val="00C220C5"/>
    <w:rsid w:val="00C32346"/>
    <w:rsid w:val="00C3323F"/>
    <w:rsid w:val="00C34B24"/>
    <w:rsid w:val="00C3566D"/>
    <w:rsid w:val="00C37CA3"/>
    <w:rsid w:val="00C42500"/>
    <w:rsid w:val="00C45CAE"/>
    <w:rsid w:val="00C4687D"/>
    <w:rsid w:val="00C50DB1"/>
    <w:rsid w:val="00C51C93"/>
    <w:rsid w:val="00C51F89"/>
    <w:rsid w:val="00C5231B"/>
    <w:rsid w:val="00C541AA"/>
    <w:rsid w:val="00C61FF6"/>
    <w:rsid w:val="00C654B6"/>
    <w:rsid w:val="00C70DE8"/>
    <w:rsid w:val="00C77DC6"/>
    <w:rsid w:val="00C83371"/>
    <w:rsid w:val="00C84EC6"/>
    <w:rsid w:val="00C863A6"/>
    <w:rsid w:val="00C90E90"/>
    <w:rsid w:val="00C92F0F"/>
    <w:rsid w:val="00C92F8E"/>
    <w:rsid w:val="00C9354C"/>
    <w:rsid w:val="00CA6C45"/>
    <w:rsid w:val="00CB4712"/>
    <w:rsid w:val="00CB570C"/>
    <w:rsid w:val="00CB612E"/>
    <w:rsid w:val="00CC41BB"/>
    <w:rsid w:val="00CE4057"/>
    <w:rsid w:val="00CE7732"/>
    <w:rsid w:val="00CF0F71"/>
    <w:rsid w:val="00CF46D7"/>
    <w:rsid w:val="00CF480F"/>
    <w:rsid w:val="00D04900"/>
    <w:rsid w:val="00D078F1"/>
    <w:rsid w:val="00D106A2"/>
    <w:rsid w:val="00D12A02"/>
    <w:rsid w:val="00D13E41"/>
    <w:rsid w:val="00D168EE"/>
    <w:rsid w:val="00D23241"/>
    <w:rsid w:val="00D24FAC"/>
    <w:rsid w:val="00D32906"/>
    <w:rsid w:val="00D36146"/>
    <w:rsid w:val="00D37C76"/>
    <w:rsid w:val="00D54E05"/>
    <w:rsid w:val="00D61572"/>
    <w:rsid w:val="00D63C9F"/>
    <w:rsid w:val="00D66CB6"/>
    <w:rsid w:val="00D6789C"/>
    <w:rsid w:val="00D84D89"/>
    <w:rsid w:val="00D85B24"/>
    <w:rsid w:val="00D868C2"/>
    <w:rsid w:val="00D8741C"/>
    <w:rsid w:val="00D910C4"/>
    <w:rsid w:val="00D93EC8"/>
    <w:rsid w:val="00DA766A"/>
    <w:rsid w:val="00DB1F44"/>
    <w:rsid w:val="00DB4710"/>
    <w:rsid w:val="00DB6605"/>
    <w:rsid w:val="00DB7D89"/>
    <w:rsid w:val="00DC2546"/>
    <w:rsid w:val="00DD0670"/>
    <w:rsid w:val="00DD27A5"/>
    <w:rsid w:val="00DD2DE3"/>
    <w:rsid w:val="00DD4B53"/>
    <w:rsid w:val="00DF4D0C"/>
    <w:rsid w:val="00DF6C3F"/>
    <w:rsid w:val="00E110A8"/>
    <w:rsid w:val="00E148E5"/>
    <w:rsid w:val="00E25112"/>
    <w:rsid w:val="00E35023"/>
    <w:rsid w:val="00E4322C"/>
    <w:rsid w:val="00E51A48"/>
    <w:rsid w:val="00E553C1"/>
    <w:rsid w:val="00E66D32"/>
    <w:rsid w:val="00E6786A"/>
    <w:rsid w:val="00E757A2"/>
    <w:rsid w:val="00E76C42"/>
    <w:rsid w:val="00E77BD9"/>
    <w:rsid w:val="00E83403"/>
    <w:rsid w:val="00E927EE"/>
    <w:rsid w:val="00E948DF"/>
    <w:rsid w:val="00E956D7"/>
    <w:rsid w:val="00E97F7A"/>
    <w:rsid w:val="00EA0080"/>
    <w:rsid w:val="00EB4719"/>
    <w:rsid w:val="00EC18C9"/>
    <w:rsid w:val="00EC2EAA"/>
    <w:rsid w:val="00EC736C"/>
    <w:rsid w:val="00ED0B39"/>
    <w:rsid w:val="00ED2A56"/>
    <w:rsid w:val="00EE09EA"/>
    <w:rsid w:val="00EE32E8"/>
    <w:rsid w:val="00EF1A89"/>
    <w:rsid w:val="00EF2041"/>
    <w:rsid w:val="00EF2A34"/>
    <w:rsid w:val="00EF6965"/>
    <w:rsid w:val="00F06337"/>
    <w:rsid w:val="00F12123"/>
    <w:rsid w:val="00F1756E"/>
    <w:rsid w:val="00F178C8"/>
    <w:rsid w:val="00F20C03"/>
    <w:rsid w:val="00F21EA8"/>
    <w:rsid w:val="00F34125"/>
    <w:rsid w:val="00F4082B"/>
    <w:rsid w:val="00F42BA2"/>
    <w:rsid w:val="00F43830"/>
    <w:rsid w:val="00F44117"/>
    <w:rsid w:val="00F52E70"/>
    <w:rsid w:val="00F535B0"/>
    <w:rsid w:val="00F60931"/>
    <w:rsid w:val="00F61A0A"/>
    <w:rsid w:val="00F75D78"/>
    <w:rsid w:val="00F76B9A"/>
    <w:rsid w:val="00F85389"/>
    <w:rsid w:val="00F8560A"/>
    <w:rsid w:val="00F968DD"/>
    <w:rsid w:val="00FA039F"/>
    <w:rsid w:val="00FA50F9"/>
    <w:rsid w:val="00FA6742"/>
    <w:rsid w:val="00FA7B27"/>
    <w:rsid w:val="00FB6428"/>
    <w:rsid w:val="00FC38F8"/>
    <w:rsid w:val="00FC4964"/>
    <w:rsid w:val="00FC6EAE"/>
    <w:rsid w:val="00FC775B"/>
    <w:rsid w:val="00FD1E93"/>
    <w:rsid w:val="00FD2F57"/>
    <w:rsid w:val="00FD54B6"/>
    <w:rsid w:val="00FD7B59"/>
    <w:rsid w:val="00FE0D26"/>
    <w:rsid w:val="00FE1BC0"/>
    <w:rsid w:val="00FE7D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2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AE"/>
    <w:pPr>
      <w:spacing w:after="0" w:line="240" w:lineRule="auto"/>
    </w:pPr>
    <w:rPr>
      <w:rFonts w:ascii="Times New Roman" w:hAnsi="Times New Roman"/>
      <w:sz w:val="24"/>
      <w:lang w:val="es-ES"/>
    </w:rPr>
  </w:style>
  <w:style w:type="paragraph" w:styleId="Ttulo1">
    <w:name w:val="heading 1"/>
    <w:basedOn w:val="Normal"/>
    <w:next w:val="Normal"/>
    <w:link w:val="Ttulo1Car"/>
    <w:uiPriority w:val="9"/>
    <w:qFormat/>
    <w:rsid w:val="00FC6EAE"/>
    <w:pPr>
      <w:keepNext/>
      <w:keepLines/>
      <w:outlineLvl w:val="0"/>
    </w:pPr>
    <w:rPr>
      <w:rFonts w:eastAsiaTheme="majorEastAsia" w:cstheme="majorBidi"/>
      <w:b/>
      <w:color w:val="000000" w:themeColor="text1"/>
      <w:sz w:val="28"/>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6EAE"/>
    <w:rPr>
      <w:rFonts w:ascii="Times New Roman" w:eastAsiaTheme="majorEastAsia" w:hAnsi="Times New Roman" w:cstheme="majorBidi"/>
      <w:b/>
      <w:color w:val="000000" w:themeColor="text1"/>
      <w:sz w:val="28"/>
      <w:szCs w:val="32"/>
      <w:lang w:eastAsia="es-ES"/>
    </w:rPr>
  </w:style>
  <w:style w:type="character" w:styleId="Refdenotaalpie">
    <w:name w:val="footnote reference"/>
    <w:aliases w:val="Fago Fußnotenzeichen,Texto de nota al pie,Appel note de bas de page,referencia nota al pie,Footnotes refss,Ref. de nota al pie 2,Footnote number,BVI fnr,f,4_G,16 Point,Superscript 6 Point,Texto nota al pie,Footnote Reference Char3,FC"/>
    <w:link w:val="Piedepagina"/>
    <w:uiPriority w:val="99"/>
    <w:qFormat/>
    <w:rsid w:val="00FC6EAE"/>
    <w:rPr>
      <w:rFonts w:ascii="Times New Roman" w:hAnsi="Times New Roman" w:cs="Times New Roman"/>
      <w:vertAlign w:val="superscript"/>
    </w:rPr>
  </w:style>
  <w:style w:type="character" w:customStyle="1" w:styleId="PiedepginaCar">
    <w:name w:val="Pie de página Car"/>
    <w:basedOn w:val="Fuentedeprrafopredeter"/>
    <w:link w:val="Piedepgina"/>
    <w:uiPriority w:val="99"/>
    <w:rsid w:val="00FC6EAE"/>
    <w:rPr>
      <w:rFonts w:eastAsia="Calibri" w:cs="Times New Roman"/>
      <w:sz w:val="28"/>
    </w:rPr>
  </w:style>
  <w:style w:type="paragraph" w:styleId="Piedepgina">
    <w:name w:val="footer"/>
    <w:basedOn w:val="Normal"/>
    <w:link w:val="PiedepginaCar"/>
    <w:uiPriority w:val="99"/>
    <w:unhideWhenUsed/>
    <w:rsid w:val="00FC6EAE"/>
    <w:pPr>
      <w:tabs>
        <w:tab w:val="center" w:pos="4252"/>
        <w:tab w:val="right" w:pos="8504"/>
      </w:tabs>
    </w:pPr>
    <w:rPr>
      <w:rFonts w:asciiTheme="minorHAnsi" w:eastAsia="Calibri" w:hAnsiTheme="minorHAnsi" w:cs="Times New Roman"/>
      <w:sz w:val="28"/>
    </w:rPr>
  </w:style>
  <w:style w:type="character" w:customStyle="1" w:styleId="PiedepginaCar1">
    <w:name w:val="Pie de página Car1"/>
    <w:basedOn w:val="Fuentedeprrafopredeter"/>
    <w:uiPriority w:val="99"/>
    <w:semiHidden/>
    <w:rsid w:val="00FC6EAE"/>
    <w:rPr>
      <w:rFonts w:ascii="Times New Roman" w:hAnsi="Times New Roman"/>
      <w:sz w:val="24"/>
    </w:rPr>
  </w:style>
  <w:style w:type="paragraph" w:styleId="Prrafodelista">
    <w:name w:val="List Paragraph"/>
    <w:basedOn w:val="Normal"/>
    <w:uiPriority w:val="34"/>
    <w:qFormat/>
    <w:rsid w:val="00FC6EAE"/>
    <w:pPr>
      <w:spacing w:after="200" w:line="276" w:lineRule="auto"/>
      <w:ind w:left="720"/>
      <w:contextualSpacing/>
    </w:pPr>
    <w:rPr>
      <w:rFonts w:eastAsia="Calibri" w:cs="Times New Roman"/>
      <w:sz w:val="28"/>
    </w:rPr>
  </w:style>
  <w:style w:type="paragraph" w:styleId="Textonotapie">
    <w:name w:val="footnote text"/>
    <w:aliases w:val="Ref. de nota al pie1,Footnote Text Char Char Char Char Char,Footnote Text Char Char Char Char,FA Fu,ft,Footnote reference,Footnote Text Char Char Char,Footnote Text Char,Footnote Text Char Char Char Char Char Char Char Char"/>
    <w:basedOn w:val="Normal"/>
    <w:link w:val="TextonotapieCar"/>
    <w:uiPriority w:val="99"/>
    <w:unhideWhenUsed/>
    <w:qFormat/>
    <w:rsid w:val="00FC6EAE"/>
    <w:rPr>
      <w:sz w:val="20"/>
      <w:szCs w:val="20"/>
    </w:rPr>
  </w:style>
  <w:style w:type="character" w:customStyle="1" w:styleId="TextonotapieCar">
    <w:name w:val="Texto nota pie Car"/>
    <w:aliases w:val="Ref. de nota al pie1 Car,Footnote Text Char Char Char Char Char Car,Footnote Text Char Char Char Char Car,FA Fu Car,ft Car,Footnote reference Car,Footnote Text Char Char Char Car,Footnote Text Char Car"/>
    <w:basedOn w:val="Fuentedeprrafopredeter"/>
    <w:link w:val="Textonotapie"/>
    <w:uiPriority w:val="99"/>
    <w:rsid w:val="00FC6EAE"/>
    <w:rPr>
      <w:rFonts w:ascii="Times New Roman" w:hAnsi="Times New Roman"/>
      <w:sz w:val="20"/>
      <w:szCs w:val="20"/>
    </w:rPr>
  </w:style>
  <w:style w:type="paragraph" w:customStyle="1" w:styleId="Piedepagina">
    <w:name w:val="Pie de pagina"/>
    <w:basedOn w:val="Normal"/>
    <w:link w:val="Refdenotaalpie"/>
    <w:uiPriority w:val="99"/>
    <w:rsid w:val="00627D9A"/>
    <w:pPr>
      <w:spacing w:after="160" w:line="240" w:lineRule="exact"/>
    </w:pPr>
    <w:rPr>
      <w:rFonts w:cs="Times New Roman"/>
      <w:sz w:val="22"/>
      <w:vertAlign w:val="superscript"/>
    </w:rPr>
  </w:style>
  <w:style w:type="character" w:styleId="Hipervnculo">
    <w:name w:val="Hyperlink"/>
    <w:basedOn w:val="Fuentedeprrafopredeter"/>
    <w:uiPriority w:val="99"/>
    <w:unhideWhenUsed/>
    <w:rsid w:val="005011B3"/>
    <w:rPr>
      <w:color w:val="0563C1" w:themeColor="hyperlink"/>
      <w:u w:val="single"/>
    </w:rPr>
  </w:style>
  <w:style w:type="character" w:customStyle="1" w:styleId="Mencinsinresolver1">
    <w:name w:val="Mención sin resolver1"/>
    <w:basedOn w:val="Fuentedeprrafopredeter"/>
    <w:uiPriority w:val="99"/>
    <w:semiHidden/>
    <w:unhideWhenUsed/>
    <w:rsid w:val="005011B3"/>
    <w:rPr>
      <w:color w:val="605E5C"/>
      <w:shd w:val="clear" w:color="auto" w:fill="E1DFDD"/>
    </w:rPr>
  </w:style>
  <w:style w:type="paragraph" w:styleId="NormalWeb">
    <w:name w:val="Normal (Web)"/>
    <w:basedOn w:val="Normal"/>
    <w:uiPriority w:val="99"/>
    <w:semiHidden/>
    <w:unhideWhenUsed/>
    <w:rsid w:val="00491331"/>
    <w:rPr>
      <w:rFonts w:cs="Times New Roman"/>
      <w:szCs w:val="24"/>
    </w:rPr>
  </w:style>
  <w:style w:type="paragraph" w:styleId="Textodeglobo">
    <w:name w:val="Balloon Text"/>
    <w:basedOn w:val="Normal"/>
    <w:link w:val="TextodegloboCar"/>
    <w:uiPriority w:val="99"/>
    <w:semiHidden/>
    <w:unhideWhenUsed/>
    <w:rsid w:val="001505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5C6"/>
    <w:rPr>
      <w:rFonts w:ascii="Segoe UI" w:hAnsi="Segoe UI" w:cs="Segoe UI"/>
      <w:sz w:val="18"/>
      <w:szCs w:val="18"/>
    </w:rPr>
  </w:style>
  <w:style w:type="paragraph" w:styleId="Encabezado">
    <w:name w:val="header"/>
    <w:basedOn w:val="Normal"/>
    <w:link w:val="EncabezadoCar"/>
    <w:uiPriority w:val="99"/>
    <w:unhideWhenUsed/>
    <w:rsid w:val="00C4687D"/>
    <w:pPr>
      <w:tabs>
        <w:tab w:val="center" w:pos="4252"/>
        <w:tab w:val="right" w:pos="8504"/>
      </w:tabs>
    </w:pPr>
  </w:style>
  <w:style w:type="character" w:customStyle="1" w:styleId="EncabezadoCar">
    <w:name w:val="Encabezado Car"/>
    <w:basedOn w:val="Fuentedeprrafopredeter"/>
    <w:link w:val="Encabezado"/>
    <w:uiPriority w:val="99"/>
    <w:rsid w:val="00C4687D"/>
    <w:rPr>
      <w:rFonts w:ascii="Times New Roman" w:hAnsi="Times New Roman"/>
      <w:sz w:val="24"/>
    </w:rPr>
  </w:style>
  <w:style w:type="character" w:styleId="Refdecomentario">
    <w:name w:val="annotation reference"/>
    <w:basedOn w:val="Fuentedeprrafopredeter"/>
    <w:uiPriority w:val="99"/>
    <w:semiHidden/>
    <w:unhideWhenUsed/>
    <w:rsid w:val="000A3FDF"/>
    <w:rPr>
      <w:sz w:val="16"/>
      <w:szCs w:val="16"/>
    </w:rPr>
  </w:style>
  <w:style w:type="paragraph" w:styleId="Textocomentario">
    <w:name w:val="annotation text"/>
    <w:basedOn w:val="Normal"/>
    <w:link w:val="TextocomentarioCar"/>
    <w:uiPriority w:val="99"/>
    <w:semiHidden/>
    <w:unhideWhenUsed/>
    <w:rsid w:val="000A3FDF"/>
    <w:rPr>
      <w:sz w:val="20"/>
      <w:szCs w:val="20"/>
    </w:rPr>
  </w:style>
  <w:style w:type="character" w:customStyle="1" w:styleId="TextocomentarioCar">
    <w:name w:val="Texto comentario Car"/>
    <w:basedOn w:val="Fuentedeprrafopredeter"/>
    <w:link w:val="Textocomentario"/>
    <w:uiPriority w:val="99"/>
    <w:semiHidden/>
    <w:rsid w:val="000A3FD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0A3FDF"/>
    <w:rPr>
      <w:b/>
      <w:bCs/>
    </w:rPr>
  </w:style>
  <w:style w:type="character" w:customStyle="1" w:styleId="AsuntodelcomentarioCar">
    <w:name w:val="Asunto del comentario Car"/>
    <w:basedOn w:val="TextocomentarioCar"/>
    <w:link w:val="Asuntodelcomentario"/>
    <w:uiPriority w:val="99"/>
    <w:semiHidden/>
    <w:rsid w:val="000A3FDF"/>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AE"/>
    <w:pPr>
      <w:spacing w:after="0" w:line="240" w:lineRule="auto"/>
    </w:pPr>
    <w:rPr>
      <w:rFonts w:ascii="Times New Roman" w:hAnsi="Times New Roman"/>
      <w:sz w:val="24"/>
      <w:lang w:val="es-ES"/>
    </w:rPr>
  </w:style>
  <w:style w:type="paragraph" w:styleId="Ttulo1">
    <w:name w:val="heading 1"/>
    <w:basedOn w:val="Normal"/>
    <w:next w:val="Normal"/>
    <w:link w:val="Ttulo1Car"/>
    <w:uiPriority w:val="9"/>
    <w:qFormat/>
    <w:rsid w:val="00FC6EAE"/>
    <w:pPr>
      <w:keepNext/>
      <w:keepLines/>
      <w:outlineLvl w:val="0"/>
    </w:pPr>
    <w:rPr>
      <w:rFonts w:eastAsiaTheme="majorEastAsia" w:cstheme="majorBidi"/>
      <w:b/>
      <w:color w:val="000000" w:themeColor="text1"/>
      <w:sz w:val="28"/>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C6EAE"/>
    <w:rPr>
      <w:rFonts w:ascii="Times New Roman" w:eastAsiaTheme="majorEastAsia" w:hAnsi="Times New Roman" w:cstheme="majorBidi"/>
      <w:b/>
      <w:color w:val="000000" w:themeColor="text1"/>
      <w:sz w:val="28"/>
      <w:szCs w:val="32"/>
      <w:lang w:eastAsia="es-ES"/>
    </w:rPr>
  </w:style>
  <w:style w:type="character" w:styleId="Refdenotaalpie">
    <w:name w:val="footnote reference"/>
    <w:aliases w:val="Fago Fußnotenzeichen,Texto de nota al pie,Appel note de bas de page,referencia nota al pie,Footnotes refss,Ref. de nota al pie 2,Footnote number,BVI fnr,f,4_G,16 Point,Superscript 6 Point,Texto nota al pie,Footnote Reference Char3,FC"/>
    <w:link w:val="Piedepagina"/>
    <w:uiPriority w:val="99"/>
    <w:qFormat/>
    <w:rsid w:val="00FC6EAE"/>
    <w:rPr>
      <w:rFonts w:ascii="Times New Roman" w:hAnsi="Times New Roman" w:cs="Times New Roman"/>
      <w:vertAlign w:val="superscript"/>
    </w:rPr>
  </w:style>
  <w:style w:type="character" w:customStyle="1" w:styleId="PiedepginaCar">
    <w:name w:val="Pie de página Car"/>
    <w:basedOn w:val="Fuentedeprrafopredeter"/>
    <w:link w:val="Piedepgina"/>
    <w:uiPriority w:val="99"/>
    <w:rsid w:val="00FC6EAE"/>
    <w:rPr>
      <w:rFonts w:eastAsia="Calibri" w:cs="Times New Roman"/>
      <w:sz w:val="28"/>
    </w:rPr>
  </w:style>
  <w:style w:type="paragraph" w:styleId="Piedepgina">
    <w:name w:val="footer"/>
    <w:basedOn w:val="Normal"/>
    <w:link w:val="PiedepginaCar"/>
    <w:uiPriority w:val="99"/>
    <w:unhideWhenUsed/>
    <w:rsid w:val="00FC6EAE"/>
    <w:pPr>
      <w:tabs>
        <w:tab w:val="center" w:pos="4252"/>
        <w:tab w:val="right" w:pos="8504"/>
      </w:tabs>
    </w:pPr>
    <w:rPr>
      <w:rFonts w:asciiTheme="minorHAnsi" w:eastAsia="Calibri" w:hAnsiTheme="minorHAnsi" w:cs="Times New Roman"/>
      <w:sz w:val="28"/>
    </w:rPr>
  </w:style>
  <w:style w:type="character" w:customStyle="1" w:styleId="PiedepginaCar1">
    <w:name w:val="Pie de página Car1"/>
    <w:basedOn w:val="Fuentedeprrafopredeter"/>
    <w:uiPriority w:val="99"/>
    <w:semiHidden/>
    <w:rsid w:val="00FC6EAE"/>
    <w:rPr>
      <w:rFonts w:ascii="Times New Roman" w:hAnsi="Times New Roman"/>
      <w:sz w:val="24"/>
    </w:rPr>
  </w:style>
  <w:style w:type="paragraph" w:styleId="Prrafodelista">
    <w:name w:val="List Paragraph"/>
    <w:basedOn w:val="Normal"/>
    <w:uiPriority w:val="34"/>
    <w:qFormat/>
    <w:rsid w:val="00FC6EAE"/>
    <w:pPr>
      <w:spacing w:after="200" w:line="276" w:lineRule="auto"/>
      <w:ind w:left="720"/>
      <w:contextualSpacing/>
    </w:pPr>
    <w:rPr>
      <w:rFonts w:eastAsia="Calibri" w:cs="Times New Roman"/>
      <w:sz w:val="28"/>
    </w:rPr>
  </w:style>
  <w:style w:type="paragraph" w:styleId="Textonotapie">
    <w:name w:val="footnote text"/>
    <w:aliases w:val="Ref. de nota al pie1,Footnote Text Char Char Char Char Char,Footnote Text Char Char Char Char,FA Fu,ft,Footnote reference,Footnote Text Char Char Char,Footnote Text Char,Footnote Text Char Char Char Char Char Char Char Char"/>
    <w:basedOn w:val="Normal"/>
    <w:link w:val="TextonotapieCar"/>
    <w:uiPriority w:val="99"/>
    <w:unhideWhenUsed/>
    <w:qFormat/>
    <w:rsid w:val="00FC6EAE"/>
    <w:rPr>
      <w:sz w:val="20"/>
      <w:szCs w:val="20"/>
    </w:rPr>
  </w:style>
  <w:style w:type="character" w:customStyle="1" w:styleId="TextonotapieCar">
    <w:name w:val="Texto nota pie Car"/>
    <w:aliases w:val="Ref. de nota al pie1 Car,Footnote Text Char Char Char Char Char Car,Footnote Text Char Char Char Char Car,FA Fu Car,ft Car,Footnote reference Car,Footnote Text Char Char Char Car,Footnote Text Char Car"/>
    <w:basedOn w:val="Fuentedeprrafopredeter"/>
    <w:link w:val="Textonotapie"/>
    <w:uiPriority w:val="99"/>
    <w:rsid w:val="00FC6EAE"/>
    <w:rPr>
      <w:rFonts w:ascii="Times New Roman" w:hAnsi="Times New Roman"/>
      <w:sz w:val="20"/>
      <w:szCs w:val="20"/>
    </w:rPr>
  </w:style>
  <w:style w:type="paragraph" w:customStyle="1" w:styleId="Piedepagina">
    <w:name w:val="Pie de pagina"/>
    <w:basedOn w:val="Normal"/>
    <w:link w:val="Refdenotaalpie"/>
    <w:uiPriority w:val="99"/>
    <w:rsid w:val="00627D9A"/>
    <w:pPr>
      <w:spacing w:after="160" w:line="240" w:lineRule="exact"/>
    </w:pPr>
    <w:rPr>
      <w:rFonts w:cs="Times New Roman"/>
      <w:sz w:val="22"/>
      <w:vertAlign w:val="superscript"/>
    </w:rPr>
  </w:style>
  <w:style w:type="character" w:styleId="Hipervnculo">
    <w:name w:val="Hyperlink"/>
    <w:basedOn w:val="Fuentedeprrafopredeter"/>
    <w:uiPriority w:val="99"/>
    <w:unhideWhenUsed/>
    <w:rsid w:val="005011B3"/>
    <w:rPr>
      <w:color w:val="0563C1" w:themeColor="hyperlink"/>
      <w:u w:val="single"/>
    </w:rPr>
  </w:style>
  <w:style w:type="character" w:customStyle="1" w:styleId="Mencinsinresolver1">
    <w:name w:val="Mención sin resolver1"/>
    <w:basedOn w:val="Fuentedeprrafopredeter"/>
    <w:uiPriority w:val="99"/>
    <w:semiHidden/>
    <w:unhideWhenUsed/>
    <w:rsid w:val="005011B3"/>
    <w:rPr>
      <w:color w:val="605E5C"/>
      <w:shd w:val="clear" w:color="auto" w:fill="E1DFDD"/>
    </w:rPr>
  </w:style>
  <w:style w:type="paragraph" w:styleId="NormalWeb">
    <w:name w:val="Normal (Web)"/>
    <w:basedOn w:val="Normal"/>
    <w:uiPriority w:val="99"/>
    <w:semiHidden/>
    <w:unhideWhenUsed/>
    <w:rsid w:val="00491331"/>
    <w:rPr>
      <w:rFonts w:cs="Times New Roman"/>
      <w:szCs w:val="24"/>
    </w:rPr>
  </w:style>
  <w:style w:type="paragraph" w:styleId="Textodeglobo">
    <w:name w:val="Balloon Text"/>
    <w:basedOn w:val="Normal"/>
    <w:link w:val="TextodegloboCar"/>
    <w:uiPriority w:val="99"/>
    <w:semiHidden/>
    <w:unhideWhenUsed/>
    <w:rsid w:val="001505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5C6"/>
    <w:rPr>
      <w:rFonts w:ascii="Segoe UI" w:hAnsi="Segoe UI" w:cs="Segoe UI"/>
      <w:sz w:val="18"/>
      <w:szCs w:val="18"/>
    </w:rPr>
  </w:style>
  <w:style w:type="paragraph" w:styleId="Encabezado">
    <w:name w:val="header"/>
    <w:basedOn w:val="Normal"/>
    <w:link w:val="EncabezadoCar"/>
    <w:uiPriority w:val="99"/>
    <w:unhideWhenUsed/>
    <w:rsid w:val="00C4687D"/>
    <w:pPr>
      <w:tabs>
        <w:tab w:val="center" w:pos="4252"/>
        <w:tab w:val="right" w:pos="8504"/>
      </w:tabs>
    </w:pPr>
  </w:style>
  <w:style w:type="character" w:customStyle="1" w:styleId="EncabezadoCar">
    <w:name w:val="Encabezado Car"/>
    <w:basedOn w:val="Fuentedeprrafopredeter"/>
    <w:link w:val="Encabezado"/>
    <w:uiPriority w:val="99"/>
    <w:rsid w:val="00C4687D"/>
    <w:rPr>
      <w:rFonts w:ascii="Times New Roman" w:hAnsi="Times New Roman"/>
      <w:sz w:val="24"/>
    </w:rPr>
  </w:style>
  <w:style w:type="character" w:styleId="Refdecomentario">
    <w:name w:val="annotation reference"/>
    <w:basedOn w:val="Fuentedeprrafopredeter"/>
    <w:uiPriority w:val="99"/>
    <w:semiHidden/>
    <w:unhideWhenUsed/>
    <w:rsid w:val="000A3FDF"/>
    <w:rPr>
      <w:sz w:val="16"/>
      <w:szCs w:val="16"/>
    </w:rPr>
  </w:style>
  <w:style w:type="paragraph" w:styleId="Textocomentario">
    <w:name w:val="annotation text"/>
    <w:basedOn w:val="Normal"/>
    <w:link w:val="TextocomentarioCar"/>
    <w:uiPriority w:val="99"/>
    <w:semiHidden/>
    <w:unhideWhenUsed/>
    <w:rsid w:val="000A3FDF"/>
    <w:rPr>
      <w:sz w:val="20"/>
      <w:szCs w:val="20"/>
    </w:rPr>
  </w:style>
  <w:style w:type="character" w:customStyle="1" w:styleId="TextocomentarioCar">
    <w:name w:val="Texto comentario Car"/>
    <w:basedOn w:val="Fuentedeprrafopredeter"/>
    <w:link w:val="Textocomentario"/>
    <w:uiPriority w:val="99"/>
    <w:semiHidden/>
    <w:rsid w:val="000A3FDF"/>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0A3FDF"/>
    <w:rPr>
      <w:b/>
      <w:bCs/>
    </w:rPr>
  </w:style>
  <w:style w:type="character" w:customStyle="1" w:styleId="AsuntodelcomentarioCar">
    <w:name w:val="Asunto del comentario Car"/>
    <w:basedOn w:val="TextocomentarioCar"/>
    <w:link w:val="Asuntodelcomentario"/>
    <w:uiPriority w:val="99"/>
    <w:semiHidden/>
    <w:rsid w:val="000A3FD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24864">
      <w:bodyDiv w:val="1"/>
      <w:marLeft w:val="0"/>
      <w:marRight w:val="0"/>
      <w:marTop w:val="0"/>
      <w:marBottom w:val="0"/>
      <w:divBdr>
        <w:top w:val="none" w:sz="0" w:space="0" w:color="auto"/>
        <w:left w:val="none" w:sz="0" w:space="0" w:color="auto"/>
        <w:bottom w:val="none" w:sz="0" w:space="0" w:color="auto"/>
        <w:right w:val="none" w:sz="0" w:space="0" w:color="auto"/>
      </w:divBdr>
    </w:div>
    <w:div w:id="743259191">
      <w:bodyDiv w:val="1"/>
      <w:marLeft w:val="0"/>
      <w:marRight w:val="0"/>
      <w:marTop w:val="0"/>
      <w:marBottom w:val="0"/>
      <w:divBdr>
        <w:top w:val="none" w:sz="0" w:space="0" w:color="auto"/>
        <w:left w:val="none" w:sz="0" w:space="0" w:color="auto"/>
        <w:bottom w:val="none" w:sz="0" w:space="0" w:color="auto"/>
        <w:right w:val="none" w:sz="0" w:space="0" w:color="auto"/>
      </w:divBdr>
    </w:div>
    <w:div w:id="747070617">
      <w:bodyDiv w:val="1"/>
      <w:marLeft w:val="0"/>
      <w:marRight w:val="0"/>
      <w:marTop w:val="0"/>
      <w:marBottom w:val="0"/>
      <w:divBdr>
        <w:top w:val="none" w:sz="0" w:space="0" w:color="auto"/>
        <w:left w:val="none" w:sz="0" w:space="0" w:color="auto"/>
        <w:bottom w:val="none" w:sz="0" w:space="0" w:color="auto"/>
        <w:right w:val="none" w:sz="0" w:space="0" w:color="auto"/>
      </w:divBdr>
    </w:div>
    <w:div w:id="905257941">
      <w:bodyDiv w:val="1"/>
      <w:marLeft w:val="0"/>
      <w:marRight w:val="0"/>
      <w:marTop w:val="0"/>
      <w:marBottom w:val="0"/>
      <w:divBdr>
        <w:top w:val="none" w:sz="0" w:space="0" w:color="auto"/>
        <w:left w:val="none" w:sz="0" w:space="0" w:color="auto"/>
        <w:bottom w:val="none" w:sz="0" w:space="0" w:color="auto"/>
        <w:right w:val="none" w:sz="0" w:space="0" w:color="auto"/>
      </w:divBdr>
    </w:div>
    <w:div w:id="1005936172">
      <w:bodyDiv w:val="1"/>
      <w:marLeft w:val="0"/>
      <w:marRight w:val="0"/>
      <w:marTop w:val="0"/>
      <w:marBottom w:val="0"/>
      <w:divBdr>
        <w:top w:val="none" w:sz="0" w:space="0" w:color="auto"/>
        <w:left w:val="none" w:sz="0" w:space="0" w:color="auto"/>
        <w:bottom w:val="none" w:sz="0" w:space="0" w:color="auto"/>
        <w:right w:val="none" w:sz="0" w:space="0" w:color="auto"/>
      </w:divBdr>
    </w:div>
    <w:div w:id="1131095011">
      <w:bodyDiv w:val="1"/>
      <w:marLeft w:val="0"/>
      <w:marRight w:val="0"/>
      <w:marTop w:val="0"/>
      <w:marBottom w:val="0"/>
      <w:divBdr>
        <w:top w:val="none" w:sz="0" w:space="0" w:color="auto"/>
        <w:left w:val="none" w:sz="0" w:space="0" w:color="auto"/>
        <w:bottom w:val="none" w:sz="0" w:space="0" w:color="auto"/>
        <w:right w:val="none" w:sz="0" w:space="0" w:color="auto"/>
      </w:divBdr>
    </w:div>
    <w:div w:id="1306398457">
      <w:bodyDiv w:val="1"/>
      <w:marLeft w:val="0"/>
      <w:marRight w:val="0"/>
      <w:marTop w:val="0"/>
      <w:marBottom w:val="0"/>
      <w:divBdr>
        <w:top w:val="none" w:sz="0" w:space="0" w:color="auto"/>
        <w:left w:val="none" w:sz="0" w:space="0" w:color="auto"/>
        <w:bottom w:val="none" w:sz="0" w:space="0" w:color="auto"/>
        <w:right w:val="none" w:sz="0" w:space="0" w:color="auto"/>
      </w:divBdr>
    </w:div>
    <w:div w:id="1364867951">
      <w:bodyDiv w:val="1"/>
      <w:marLeft w:val="0"/>
      <w:marRight w:val="0"/>
      <w:marTop w:val="0"/>
      <w:marBottom w:val="0"/>
      <w:divBdr>
        <w:top w:val="none" w:sz="0" w:space="0" w:color="auto"/>
        <w:left w:val="none" w:sz="0" w:space="0" w:color="auto"/>
        <w:bottom w:val="none" w:sz="0" w:space="0" w:color="auto"/>
        <w:right w:val="none" w:sz="0" w:space="0" w:color="auto"/>
      </w:divBdr>
    </w:div>
    <w:div w:id="1383098258">
      <w:bodyDiv w:val="1"/>
      <w:marLeft w:val="0"/>
      <w:marRight w:val="0"/>
      <w:marTop w:val="0"/>
      <w:marBottom w:val="0"/>
      <w:divBdr>
        <w:top w:val="none" w:sz="0" w:space="0" w:color="auto"/>
        <w:left w:val="none" w:sz="0" w:space="0" w:color="auto"/>
        <w:bottom w:val="none" w:sz="0" w:space="0" w:color="auto"/>
        <w:right w:val="none" w:sz="0" w:space="0" w:color="auto"/>
      </w:divBdr>
    </w:div>
    <w:div w:id="1414204329">
      <w:bodyDiv w:val="1"/>
      <w:marLeft w:val="0"/>
      <w:marRight w:val="0"/>
      <w:marTop w:val="0"/>
      <w:marBottom w:val="0"/>
      <w:divBdr>
        <w:top w:val="none" w:sz="0" w:space="0" w:color="auto"/>
        <w:left w:val="none" w:sz="0" w:space="0" w:color="auto"/>
        <w:bottom w:val="none" w:sz="0" w:space="0" w:color="auto"/>
        <w:right w:val="none" w:sz="0" w:space="0" w:color="auto"/>
      </w:divBdr>
    </w:div>
    <w:div w:id="18768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AACB5-A188-48F4-8F95-817F30A5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4321</Words>
  <Characters>23767</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Liliana Romero López</dc:creator>
  <cp:lastModifiedBy>personal</cp:lastModifiedBy>
  <cp:revision>2</cp:revision>
  <cp:lastPrinted>2020-03-10T19:40:00Z</cp:lastPrinted>
  <dcterms:created xsi:type="dcterms:W3CDTF">2020-05-21T22:12:00Z</dcterms:created>
  <dcterms:modified xsi:type="dcterms:W3CDTF">2020-05-21T22:12:00Z</dcterms:modified>
</cp:coreProperties>
</file>